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8A8A" w14:textId="3AD09686" w:rsidR="00A81D96" w:rsidRPr="00CA20C3" w:rsidRDefault="00BD7F32" w:rsidP="00A81D9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20C3">
        <w:rPr>
          <w:rFonts w:ascii="Arial" w:hAnsi="Arial" w:cs="Arial"/>
          <w:sz w:val="20"/>
          <w:szCs w:val="20"/>
        </w:rPr>
        <w:t>The following is additional information regarding Invitation to Bid</w:t>
      </w:r>
      <w:r w:rsidR="008A68D1" w:rsidRPr="00CA20C3">
        <w:rPr>
          <w:rFonts w:ascii="Arial" w:hAnsi="Arial" w:cs="Arial"/>
          <w:sz w:val="20"/>
          <w:szCs w:val="20"/>
        </w:rPr>
        <w:t xml:space="preserve">/Request </w:t>
      </w:r>
      <w:r w:rsidR="00466F5B" w:rsidRPr="00CA20C3">
        <w:rPr>
          <w:rFonts w:ascii="Arial" w:hAnsi="Arial" w:cs="Arial"/>
          <w:sz w:val="20"/>
          <w:szCs w:val="20"/>
        </w:rPr>
        <w:t>for Proposal</w:t>
      </w:r>
      <w:r w:rsidRPr="00CA20C3">
        <w:rPr>
          <w:rFonts w:ascii="Arial" w:hAnsi="Arial" w:cs="Arial"/>
          <w:sz w:val="20"/>
          <w:szCs w:val="20"/>
        </w:rPr>
        <w:t xml:space="preserve"> </w:t>
      </w:r>
      <w:r w:rsidR="00693F88" w:rsidRPr="00CA20C3">
        <w:rPr>
          <w:rFonts w:ascii="Arial" w:hAnsi="Arial" w:cs="Arial"/>
          <w:sz w:val="20"/>
          <w:szCs w:val="20"/>
        </w:rPr>
        <w:t>#</w:t>
      </w:r>
      <w:r w:rsidR="00B166F9" w:rsidRPr="00B166F9">
        <w:t xml:space="preserve"> </w:t>
      </w:r>
      <w:r w:rsidR="00B166F9" w:rsidRPr="00B166F9">
        <w:rPr>
          <w:rFonts w:ascii="Arial" w:hAnsi="Arial" w:cs="Arial"/>
          <w:sz w:val="20"/>
          <w:szCs w:val="20"/>
        </w:rPr>
        <w:t>SC0-2</w:t>
      </w:r>
      <w:r w:rsidR="005C5236">
        <w:rPr>
          <w:rFonts w:ascii="Arial" w:hAnsi="Arial" w:cs="Arial"/>
          <w:sz w:val="20"/>
          <w:szCs w:val="20"/>
        </w:rPr>
        <w:t>3</w:t>
      </w:r>
      <w:r w:rsidR="00693F88" w:rsidRPr="00CA20C3">
        <w:rPr>
          <w:rFonts w:ascii="Arial" w:hAnsi="Arial" w:cs="Arial"/>
          <w:sz w:val="20"/>
          <w:szCs w:val="20"/>
        </w:rPr>
        <w:t xml:space="preserve"> </w:t>
      </w:r>
      <w:r w:rsidRPr="00CA20C3">
        <w:rPr>
          <w:rFonts w:ascii="Arial" w:hAnsi="Arial" w:cs="Arial"/>
          <w:sz w:val="20"/>
          <w:szCs w:val="20"/>
        </w:rPr>
        <w:t xml:space="preserve">titled </w:t>
      </w:r>
      <w:r w:rsidR="005C5236">
        <w:rPr>
          <w:rFonts w:ascii="Arial" w:hAnsi="Arial" w:cs="Arial"/>
          <w:sz w:val="20"/>
          <w:szCs w:val="20"/>
        </w:rPr>
        <w:t>Audio</w:t>
      </w:r>
      <w:r w:rsidR="00A32D2E" w:rsidRPr="00A32D2E">
        <w:rPr>
          <w:rFonts w:ascii="Arial" w:hAnsi="Arial" w:cs="Arial"/>
          <w:sz w:val="20"/>
          <w:szCs w:val="20"/>
        </w:rPr>
        <w:t xml:space="preserve"> </w:t>
      </w:r>
      <w:r w:rsidR="005C5236">
        <w:rPr>
          <w:rFonts w:ascii="Arial" w:hAnsi="Arial" w:cs="Arial"/>
          <w:sz w:val="20"/>
          <w:szCs w:val="20"/>
        </w:rPr>
        <w:t>System</w:t>
      </w:r>
      <w:r w:rsidR="00F20065">
        <w:rPr>
          <w:rFonts w:ascii="Arial" w:hAnsi="Arial" w:cs="Arial"/>
          <w:sz w:val="20"/>
          <w:szCs w:val="20"/>
        </w:rPr>
        <w:t xml:space="preserve"> </w:t>
      </w:r>
      <w:r w:rsidR="00A32D2E" w:rsidRPr="00A32D2E">
        <w:rPr>
          <w:rFonts w:ascii="Arial" w:hAnsi="Arial" w:cs="Arial"/>
          <w:sz w:val="20"/>
          <w:szCs w:val="20"/>
        </w:rPr>
        <w:t xml:space="preserve">for Seattle Center Mural Upgrade </w:t>
      </w:r>
      <w:r w:rsidRPr="00CA20C3">
        <w:rPr>
          <w:rFonts w:ascii="Arial" w:hAnsi="Arial" w:cs="Arial"/>
          <w:sz w:val="20"/>
          <w:szCs w:val="20"/>
        </w:rPr>
        <w:t>released on</w:t>
      </w:r>
      <w:r w:rsidR="00693F88" w:rsidRPr="00CA20C3">
        <w:rPr>
          <w:rFonts w:ascii="Arial" w:hAnsi="Arial" w:cs="Arial"/>
          <w:sz w:val="20"/>
          <w:szCs w:val="20"/>
        </w:rPr>
        <w:t xml:space="preserve"> </w:t>
      </w:r>
      <w:r w:rsidR="00B166F9" w:rsidRPr="00B166F9">
        <w:rPr>
          <w:rFonts w:ascii="Arial" w:hAnsi="Arial" w:cs="Arial"/>
          <w:sz w:val="20"/>
          <w:szCs w:val="20"/>
        </w:rPr>
        <w:t>02/0</w:t>
      </w:r>
      <w:r w:rsidR="005C5236">
        <w:rPr>
          <w:rFonts w:ascii="Arial" w:hAnsi="Arial" w:cs="Arial"/>
          <w:sz w:val="20"/>
          <w:szCs w:val="20"/>
        </w:rPr>
        <w:t>5</w:t>
      </w:r>
      <w:r w:rsidR="00B166F9" w:rsidRPr="00B166F9">
        <w:rPr>
          <w:rFonts w:ascii="Arial" w:hAnsi="Arial" w:cs="Arial"/>
          <w:sz w:val="20"/>
          <w:szCs w:val="20"/>
        </w:rPr>
        <w:t>/2019</w:t>
      </w:r>
      <w:r w:rsidR="00B166F9">
        <w:rPr>
          <w:rFonts w:ascii="Arial" w:hAnsi="Arial" w:cs="Arial"/>
          <w:sz w:val="20"/>
          <w:szCs w:val="20"/>
        </w:rPr>
        <w:t xml:space="preserve">. </w:t>
      </w:r>
      <w:r w:rsidRPr="001B2943">
        <w:rPr>
          <w:rFonts w:ascii="Arial" w:hAnsi="Arial" w:cs="Arial"/>
          <w:b/>
          <w:sz w:val="20"/>
          <w:szCs w:val="20"/>
        </w:rPr>
        <w:t>The due date and time for responses</w:t>
      </w:r>
      <w:r w:rsidR="008A68D1" w:rsidRPr="001B2943">
        <w:rPr>
          <w:rFonts w:ascii="Arial" w:hAnsi="Arial" w:cs="Arial"/>
          <w:b/>
          <w:sz w:val="20"/>
          <w:szCs w:val="20"/>
        </w:rPr>
        <w:t xml:space="preserve"> </w:t>
      </w:r>
      <w:r w:rsidR="00986DA8">
        <w:rPr>
          <w:rFonts w:ascii="Arial" w:hAnsi="Arial" w:cs="Arial"/>
          <w:b/>
          <w:sz w:val="20"/>
          <w:szCs w:val="20"/>
        </w:rPr>
        <w:t>has been changed to</w:t>
      </w:r>
      <w:r w:rsidR="008A68D1" w:rsidRPr="001B2943">
        <w:rPr>
          <w:rFonts w:ascii="Arial" w:hAnsi="Arial" w:cs="Arial"/>
          <w:b/>
          <w:sz w:val="20"/>
          <w:szCs w:val="20"/>
        </w:rPr>
        <w:t xml:space="preserve"> </w:t>
      </w:r>
      <w:r w:rsidR="00B166F9" w:rsidRPr="001B2943">
        <w:rPr>
          <w:rFonts w:ascii="Arial" w:hAnsi="Arial" w:cs="Arial"/>
          <w:b/>
          <w:sz w:val="20"/>
          <w:szCs w:val="20"/>
        </w:rPr>
        <w:t>0</w:t>
      </w:r>
      <w:r w:rsidR="00BB73A3">
        <w:rPr>
          <w:rFonts w:ascii="Arial" w:hAnsi="Arial" w:cs="Arial"/>
          <w:b/>
          <w:sz w:val="20"/>
          <w:szCs w:val="20"/>
        </w:rPr>
        <w:t>3/07</w:t>
      </w:r>
      <w:r w:rsidR="00B166F9" w:rsidRPr="001B2943">
        <w:rPr>
          <w:rFonts w:ascii="Arial" w:hAnsi="Arial" w:cs="Arial"/>
          <w:b/>
          <w:sz w:val="20"/>
          <w:szCs w:val="20"/>
        </w:rPr>
        <w:t xml:space="preserve">/2019; 3:00PM </w:t>
      </w:r>
      <w:r w:rsidRPr="001B2943">
        <w:rPr>
          <w:rFonts w:ascii="Arial" w:hAnsi="Arial" w:cs="Arial"/>
          <w:b/>
          <w:sz w:val="20"/>
          <w:szCs w:val="20"/>
        </w:rPr>
        <w:t>(Pacific)</w:t>
      </w:r>
      <w:r w:rsidRPr="00CA20C3">
        <w:rPr>
          <w:rFonts w:ascii="Arial" w:hAnsi="Arial" w:cs="Arial"/>
          <w:sz w:val="20"/>
          <w:szCs w:val="20"/>
        </w:rPr>
        <w:t>.  This addendum includes both questions from prospective pr</w:t>
      </w:r>
      <w:r w:rsidR="00D53979">
        <w:rPr>
          <w:rFonts w:ascii="Arial" w:hAnsi="Arial" w:cs="Arial"/>
          <w:sz w:val="20"/>
          <w:szCs w:val="20"/>
        </w:rPr>
        <w:t xml:space="preserve">oposers and the City’s answers </w:t>
      </w:r>
      <w:r w:rsidRPr="00CA20C3">
        <w:rPr>
          <w:rFonts w:ascii="Arial" w:hAnsi="Arial" w:cs="Arial"/>
          <w:sz w:val="20"/>
          <w:szCs w:val="20"/>
        </w:rPr>
        <w:t>and revisions to the ITB</w:t>
      </w:r>
      <w:r w:rsidR="00527C8A" w:rsidRPr="00CA20C3">
        <w:rPr>
          <w:rFonts w:ascii="Arial" w:hAnsi="Arial" w:cs="Arial"/>
          <w:sz w:val="20"/>
          <w:szCs w:val="20"/>
        </w:rPr>
        <w:t>.</w:t>
      </w:r>
      <w:r w:rsidR="00693F88" w:rsidRPr="00CA20C3">
        <w:rPr>
          <w:rFonts w:ascii="Arial" w:hAnsi="Arial" w:cs="Arial"/>
          <w:sz w:val="20"/>
          <w:szCs w:val="20"/>
        </w:rPr>
        <w:t xml:space="preserve"> </w:t>
      </w:r>
      <w:r w:rsidRPr="00CA20C3">
        <w:rPr>
          <w:rFonts w:ascii="Arial" w:hAnsi="Arial" w:cs="Arial"/>
          <w:sz w:val="20"/>
          <w:szCs w:val="20"/>
        </w:rPr>
        <w:t>This addendum is hereby made part of the ITB and therefore, the information contained herein shall be taken into consideration when preparing and submitting a bid.</w:t>
      </w:r>
    </w:p>
    <w:tbl>
      <w:tblPr>
        <w:tblpPr w:leftFromText="187" w:rightFromText="187" w:vertAnchor="page" w:horzAnchor="margin" w:tblpY="3428"/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1"/>
        <w:gridCol w:w="1394"/>
        <w:gridCol w:w="1260"/>
        <w:gridCol w:w="2663"/>
        <w:gridCol w:w="2702"/>
        <w:gridCol w:w="6384"/>
      </w:tblGrid>
      <w:tr w:rsidR="0051500C" w:rsidRPr="00693F88" w14:paraId="5DABB640" w14:textId="77777777" w:rsidTr="002A0486">
        <w:tc>
          <w:tcPr>
            <w:tcW w:w="165" w:type="pct"/>
            <w:shd w:val="clear" w:color="auto" w:fill="C0C0C0"/>
          </w:tcPr>
          <w:p w14:paraId="4A198D33" w14:textId="77777777" w:rsidR="00B355AE" w:rsidRPr="00693F88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Item #</w:t>
            </w:r>
          </w:p>
        </w:tc>
        <w:tc>
          <w:tcPr>
            <w:tcW w:w="468" w:type="pct"/>
            <w:shd w:val="clear" w:color="auto" w:fill="C0C0C0"/>
          </w:tcPr>
          <w:p w14:paraId="514AB8CA" w14:textId="77777777" w:rsidR="00B355AE" w:rsidRPr="00693F88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423" w:type="pct"/>
            <w:shd w:val="clear" w:color="auto" w:fill="C0C0C0"/>
          </w:tcPr>
          <w:p w14:paraId="3AA0005D" w14:textId="77777777" w:rsidR="00B355AE" w:rsidRPr="00693F88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Date Answered</w:t>
            </w:r>
          </w:p>
        </w:tc>
        <w:tc>
          <w:tcPr>
            <w:tcW w:w="894" w:type="pct"/>
            <w:shd w:val="clear" w:color="auto" w:fill="C0C0C0"/>
          </w:tcPr>
          <w:p w14:paraId="273AC79A" w14:textId="77777777" w:rsidR="00B355AE" w:rsidRPr="00693F88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Vendor’s Question</w:t>
            </w:r>
          </w:p>
        </w:tc>
        <w:tc>
          <w:tcPr>
            <w:tcW w:w="907" w:type="pct"/>
            <w:shd w:val="clear" w:color="auto" w:fill="C0C0C0"/>
          </w:tcPr>
          <w:p w14:paraId="1508344B" w14:textId="77777777" w:rsidR="00B355AE" w:rsidRPr="00693F88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City’s Answer</w:t>
            </w:r>
          </w:p>
        </w:tc>
        <w:tc>
          <w:tcPr>
            <w:tcW w:w="2143" w:type="pct"/>
            <w:shd w:val="clear" w:color="auto" w:fill="C0C0C0"/>
          </w:tcPr>
          <w:p w14:paraId="76CAD073" w14:textId="77777777" w:rsidR="00B355AE" w:rsidRPr="00693F88" w:rsidRDefault="00B355AE" w:rsidP="00264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RFP Revisions</w:t>
            </w:r>
          </w:p>
        </w:tc>
      </w:tr>
      <w:tr w:rsidR="00BD7F32" w:rsidRPr="00693F88" w14:paraId="0D5A0E3C" w14:textId="77777777" w:rsidTr="002A0486">
        <w:tc>
          <w:tcPr>
            <w:tcW w:w="165" w:type="pct"/>
          </w:tcPr>
          <w:p w14:paraId="1F7B9370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pct"/>
          </w:tcPr>
          <w:p w14:paraId="62D3EF86" w14:textId="5A8B812B" w:rsidR="00BD7F32" w:rsidRPr="00693F88" w:rsidRDefault="005C5236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02/12/2019</w:t>
            </w:r>
          </w:p>
        </w:tc>
        <w:tc>
          <w:tcPr>
            <w:tcW w:w="423" w:type="pct"/>
          </w:tcPr>
          <w:p w14:paraId="7798DE96" w14:textId="3B88E7B4" w:rsidR="00BD7F32" w:rsidRPr="00693F88" w:rsidRDefault="005C5236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</w:t>
            </w:r>
            <w:r w:rsidR="00227D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894" w:type="pct"/>
          </w:tcPr>
          <w:p w14:paraId="3EA02ACF" w14:textId="79A9BF2D" w:rsidR="00BD7F32" w:rsidRPr="00227D2A" w:rsidRDefault="005C5236" w:rsidP="00BD7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7D2A">
              <w:rPr>
                <w:rFonts w:ascii="Arial" w:hAnsi="Arial" w:cs="Arial"/>
                <w:b/>
                <w:sz w:val="20"/>
                <w:szCs w:val="20"/>
              </w:rPr>
              <w:t>City Initiated – Rescheduled Pre-Bid and Revised bid due date</w:t>
            </w:r>
          </w:p>
        </w:tc>
        <w:tc>
          <w:tcPr>
            <w:tcW w:w="907" w:type="pct"/>
          </w:tcPr>
          <w:p w14:paraId="21972D07" w14:textId="4504F1EA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pct"/>
          </w:tcPr>
          <w:p w14:paraId="1AD10CAB" w14:textId="6CE885FE" w:rsidR="00B85006" w:rsidRDefault="00F20065" w:rsidP="005C5236">
            <w:pPr>
              <w:rPr>
                <w:rFonts w:ascii="Arial" w:hAnsi="Arial" w:cs="Arial"/>
                <w:sz w:val="20"/>
                <w:szCs w:val="20"/>
              </w:rPr>
            </w:pPr>
            <w:r w:rsidRPr="00F20065">
              <w:rPr>
                <w:rFonts w:ascii="Arial" w:hAnsi="Arial" w:cs="Arial"/>
                <w:sz w:val="20"/>
                <w:szCs w:val="20"/>
              </w:rPr>
              <w:t>Due to the recent inclement weather we have experienced</w:t>
            </w:r>
            <w:r w:rsidR="00BB73A3">
              <w:rPr>
                <w:rFonts w:ascii="Arial" w:hAnsi="Arial" w:cs="Arial"/>
                <w:sz w:val="20"/>
                <w:szCs w:val="20"/>
              </w:rPr>
              <w:t>,</w:t>
            </w:r>
            <w:r w:rsidRPr="00F200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20065">
              <w:rPr>
                <w:rFonts w:ascii="Arial" w:hAnsi="Arial" w:cs="Arial"/>
                <w:sz w:val="20"/>
                <w:szCs w:val="20"/>
              </w:rPr>
              <w:t>he schedule has been revised as follows: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236" w:rsidRPr="005C5236">
              <w:rPr>
                <w:rFonts w:ascii="Arial" w:hAnsi="Arial" w:cs="Arial"/>
                <w:sz w:val="20"/>
                <w:szCs w:val="20"/>
              </w:rPr>
              <w:t xml:space="preserve">See Page 1, Table 1: Solicitation Schedule. </w:t>
            </w:r>
            <w:r w:rsidR="00B85006">
              <w:rPr>
                <w:rFonts w:ascii="Arial" w:hAnsi="Arial" w:cs="Arial"/>
                <w:sz w:val="20"/>
                <w:szCs w:val="20"/>
              </w:rPr>
              <w:t>Revise to read:</w:t>
            </w:r>
          </w:p>
          <w:p w14:paraId="73AF5772" w14:textId="77777777" w:rsidR="00B85006" w:rsidRDefault="00B85006" w:rsidP="00B850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5E9B8" w14:textId="60608E19" w:rsidR="00B85006" w:rsidRPr="00B85006" w:rsidRDefault="00B85006" w:rsidP="00B85006">
            <w:pPr>
              <w:rPr>
                <w:rFonts w:ascii="Arial" w:hAnsi="Arial" w:cs="Arial"/>
                <w:sz w:val="20"/>
                <w:szCs w:val="20"/>
              </w:rPr>
            </w:pPr>
            <w:r w:rsidRPr="00B85006">
              <w:rPr>
                <w:rFonts w:ascii="Arial" w:hAnsi="Arial" w:cs="Arial"/>
                <w:sz w:val="20"/>
                <w:szCs w:val="20"/>
              </w:rPr>
              <w:t>Pre-Bid Conference (</w:t>
            </w:r>
            <w:r>
              <w:rPr>
                <w:rFonts w:ascii="Arial" w:hAnsi="Arial" w:cs="Arial"/>
                <w:sz w:val="20"/>
                <w:szCs w:val="20"/>
              </w:rPr>
              <w:t>Optional</w:t>
            </w:r>
            <w:r w:rsidRPr="00B85006">
              <w:rPr>
                <w:rFonts w:ascii="Arial" w:hAnsi="Arial" w:cs="Arial"/>
                <w:sz w:val="20"/>
                <w:szCs w:val="20"/>
              </w:rPr>
              <w:t>)</w:t>
            </w:r>
            <w:r w:rsidR="003757CF">
              <w:rPr>
                <w:rFonts w:ascii="Arial" w:hAnsi="Arial" w:cs="Arial"/>
                <w:sz w:val="20"/>
                <w:szCs w:val="20"/>
              </w:rPr>
              <w:t xml:space="preserve"> - 02/20/2019; 3:00PM</w:t>
            </w:r>
          </w:p>
          <w:p w14:paraId="74340E9C" w14:textId="61D4A935" w:rsidR="00B85006" w:rsidRPr="00B85006" w:rsidRDefault="00B85006" w:rsidP="00B85006">
            <w:pPr>
              <w:rPr>
                <w:rFonts w:ascii="Arial" w:hAnsi="Arial" w:cs="Arial"/>
                <w:sz w:val="20"/>
                <w:szCs w:val="20"/>
              </w:rPr>
            </w:pPr>
            <w:r w:rsidRPr="00B85006">
              <w:rPr>
                <w:rFonts w:ascii="Arial" w:hAnsi="Arial" w:cs="Arial"/>
                <w:sz w:val="20"/>
                <w:szCs w:val="20"/>
              </w:rPr>
              <w:t>Deadline for Questions</w:t>
            </w:r>
            <w:r w:rsidR="003757CF">
              <w:rPr>
                <w:rFonts w:ascii="Arial" w:hAnsi="Arial" w:cs="Arial"/>
                <w:sz w:val="20"/>
                <w:szCs w:val="20"/>
              </w:rPr>
              <w:t xml:space="preserve"> – 02/22/219</w:t>
            </w:r>
          </w:p>
          <w:p w14:paraId="3FA7399D" w14:textId="73D47EC3" w:rsidR="00B85006" w:rsidRPr="00693F88" w:rsidRDefault="00B85006" w:rsidP="00B85006">
            <w:pPr>
              <w:rPr>
                <w:rFonts w:ascii="Arial" w:hAnsi="Arial" w:cs="Arial"/>
                <w:sz w:val="20"/>
                <w:szCs w:val="20"/>
              </w:rPr>
            </w:pPr>
            <w:r w:rsidRPr="00B85006">
              <w:rPr>
                <w:rFonts w:ascii="Arial" w:hAnsi="Arial" w:cs="Arial"/>
                <w:sz w:val="20"/>
                <w:szCs w:val="20"/>
              </w:rPr>
              <w:t>Sealed Bids Due to the City</w:t>
            </w:r>
            <w:r w:rsidR="00227D2A">
              <w:rPr>
                <w:rFonts w:ascii="Arial" w:hAnsi="Arial" w:cs="Arial"/>
                <w:sz w:val="20"/>
                <w:szCs w:val="20"/>
              </w:rPr>
              <w:t xml:space="preserve"> – 03/07/2019; </w:t>
            </w:r>
            <w:r w:rsidR="00227D2A" w:rsidRPr="00227D2A">
              <w:rPr>
                <w:rFonts w:ascii="Arial" w:hAnsi="Arial" w:cs="Arial"/>
                <w:sz w:val="20"/>
                <w:szCs w:val="20"/>
              </w:rPr>
              <w:t>3:00PM</w:t>
            </w:r>
          </w:p>
        </w:tc>
      </w:tr>
      <w:tr w:rsidR="00B422C9" w:rsidRPr="00B422C9" w14:paraId="26D532A0" w14:textId="77777777" w:rsidTr="002A0486">
        <w:trPr>
          <w:trHeight w:val="188"/>
        </w:trPr>
        <w:tc>
          <w:tcPr>
            <w:tcW w:w="165" w:type="pct"/>
          </w:tcPr>
          <w:p w14:paraId="52E0D13D" w14:textId="77777777" w:rsidR="00B422C9" w:rsidRPr="00B422C9" w:rsidRDefault="00B422C9" w:rsidP="00B4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2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" w:type="pct"/>
          </w:tcPr>
          <w:p w14:paraId="15C7E8E7" w14:textId="284F8A03" w:rsidR="00B422C9" w:rsidRPr="00B422C9" w:rsidRDefault="00B422C9" w:rsidP="00B4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2C9">
              <w:rPr>
                <w:rFonts w:ascii="Arial" w:hAnsi="Arial" w:cs="Arial"/>
                <w:sz w:val="20"/>
                <w:szCs w:val="20"/>
              </w:rPr>
              <w:t>02/12/2019</w:t>
            </w:r>
          </w:p>
        </w:tc>
        <w:tc>
          <w:tcPr>
            <w:tcW w:w="423" w:type="pct"/>
          </w:tcPr>
          <w:p w14:paraId="313EB44B" w14:textId="30C439D1" w:rsidR="00B422C9" w:rsidRPr="00B422C9" w:rsidRDefault="00B422C9" w:rsidP="00B4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2C9">
              <w:rPr>
                <w:rFonts w:ascii="Arial" w:hAnsi="Arial" w:cs="Arial"/>
                <w:sz w:val="20"/>
                <w:szCs w:val="20"/>
              </w:rPr>
              <w:t>02/1</w:t>
            </w:r>
            <w:r w:rsidR="00A774B4">
              <w:rPr>
                <w:rFonts w:ascii="Arial" w:hAnsi="Arial" w:cs="Arial"/>
                <w:sz w:val="20"/>
                <w:szCs w:val="20"/>
              </w:rPr>
              <w:t>3</w:t>
            </w:r>
            <w:r w:rsidRPr="00B422C9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894" w:type="pct"/>
          </w:tcPr>
          <w:p w14:paraId="4D977AEF" w14:textId="0D52D340" w:rsidR="00B422C9" w:rsidRPr="00A774B4" w:rsidRDefault="00B422C9" w:rsidP="00B42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4B4">
              <w:rPr>
                <w:rFonts w:ascii="Arial" w:hAnsi="Arial" w:cs="Arial"/>
                <w:b/>
                <w:sz w:val="20"/>
                <w:szCs w:val="20"/>
              </w:rPr>
              <w:t xml:space="preserve">City Initiated – Revised Adamson </w:t>
            </w:r>
            <w:r w:rsidR="00A774B4" w:rsidRPr="00A774B4">
              <w:rPr>
                <w:rFonts w:ascii="Arial" w:hAnsi="Arial" w:cs="Arial"/>
                <w:b/>
                <w:sz w:val="20"/>
                <w:szCs w:val="20"/>
              </w:rPr>
              <w:t xml:space="preserve">S-10 </w:t>
            </w:r>
            <w:r w:rsidRPr="00A774B4">
              <w:rPr>
                <w:rFonts w:ascii="Arial" w:hAnsi="Arial" w:cs="Arial"/>
                <w:b/>
                <w:sz w:val="20"/>
                <w:szCs w:val="20"/>
              </w:rPr>
              <w:t>Speaker configuration</w:t>
            </w:r>
          </w:p>
        </w:tc>
        <w:tc>
          <w:tcPr>
            <w:tcW w:w="907" w:type="pct"/>
          </w:tcPr>
          <w:p w14:paraId="47540CEC" w14:textId="18BC55E3" w:rsidR="00B422C9" w:rsidRPr="00B422C9" w:rsidRDefault="00B422C9" w:rsidP="00B422C9">
            <w:pPr>
              <w:rPr>
                <w:rFonts w:ascii="Arial" w:hAnsi="Arial" w:cs="Arial"/>
                <w:sz w:val="20"/>
                <w:szCs w:val="20"/>
              </w:rPr>
            </w:pPr>
            <w:r w:rsidRPr="00B422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3" w:type="pct"/>
          </w:tcPr>
          <w:p w14:paraId="36C37C21" w14:textId="15B02A14" w:rsidR="00B422C9" w:rsidRPr="00752D45" w:rsidRDefault="00B422C9" w:rsidP="00B422C9">
            <w:pPr>
              <w:rPr>
                <w:rFonts w:ascii="Arial" w:hAnsi="Arial" w:cs="Arial"/>
                <w:sz w:val="20"/>
                <w:szCs w:val="20"/>
              </w:rPr>
            </w:pPr>
            <w:r w:rsidRPr="00752D45">
              <w:rPr>
                <w:rFonts w:ascii="Arial" w:hAnsi="Arial" w:cs="Arial"/>
                <w:sz w:val="20"/>
                <w:szCs w:val="20"/>
              </w:rPr>
              <w:t xml:space="preserve">See Page 3, Section 5: Specifications and Scope </w:t>
            </w:r>
            <w:r w:rsidR="00A774B4" w:rsidRPr="00752D45">
              <w:rPr>
                <w:rFonts w:ascii="Arial" w:hAnsi="Arial" w:cs="Arial"/>
                <w:sz w:val="20"/>
                <w:szCs w:val="20"/>
              </w:rPr>
              <w:t>o</w:t>
            </w:r>
            <w:r w:rsidRPr="00752D45">
              <w:rPr>
                <w:rFonts w:ascii="Arial" w:hAnsi="Arial" w:cs="Arial"/>
                <w:sz w:val="20"/>
                <w:szCs w:val="20"/>
              </w:rPr>
              <w:t>f Work. Revise 2.2 SPEAKER CABINETS and CONTROL to read: six S10 speakers and six S10N speakers.</w:t>
            </w:r>
          </w:p>
          <w:p w14:paraId="224B06BA" w14:textId="561ABA1A" w:rsidR="00752D45" w:rsidRPr="00752D45" w:rsidRDefault="00E325C2" w:rsidP="00B422C9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52D45" w:rsidRPr="00752D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https://www.adamsonsystems.com/en/product/s-series/s10n</w:t>
              </w:r>
            </w:hyperlink>
          </w:p>
          <w:p w14:paraId="7E809B5D" w14:textId="318BFC54" w:rsidR="00A774B4" w:rsidRPr="00752D45" w:rsidRDefault="00DC1E27" w:rsidP="00B422C9">
            <w:pPr>
              <w:rPr>
                <w:rFonts w:ascii="Arial" w:hAnsi="Arial" w:cs="Arial"/>
                <w:sz w:val="20"/>
                <w:szCs w:val="20"/>
              </w:rPr>
            </w:pPr>
            <w:r w:rsidRPr="00752D45">
              <w:rPr>
                <w:rFonts w:ascii="Arial" w:hAnsi="Arial" w:cs="Arial"/>
                <w:sz w:val="20"/>
                <w:szCs w:val="20"/>
              </w:rPr>
              <w:t>See Page 11, Section 7, Item 4 Bid Offer Form: Line 1 Adamson S10 Line Array Cabinet revise Qty to 6. Add line item for S10N speakers Qty 6</w:t>
            </w:r>
          </w:p>
        </w:tc>
      </w:tr>
      <w:tr w:rsidR="002D6A81" w:rsidRPr="00693F88" w14:paraId="15769CC4" w14:textId="77777777" w:rsidTr="002A0486">
        <w:tc>
          <w:tcPr>
            <w:tcW w:w="165" w:type="pct"/>
          </w:tcPr>
          <w:p w14:paraId="7FD7E8EA" w14:textId="77777777" w:rsidR="002D6A81" w:rsidRPr="00693F88" w:rsidRDefault="002D6A81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</w:tcPr>
          <w:p w14:paraId="190F479B" w14:textId="2CB4CE26" w:rsidR="002D6A81" w:rsidRPr="00693F88" w:rsidRDefault="00F16327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02/15/2019</w:t>
            </w:r>
          </w:p>
        </w:tc>
        <w:tc>
          <w:tcPr>
            <w:tcW w:w="423" w:type="pct"/>
          </w:tcPr>
          <w:p w14:paraId="7A3ABCAD" w14:textId="3223EC4D" w:rsidR="002D6A81" w:rsidRPr="00693F88" w:rsidRDefault="00F16327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02/22/2019</w:t>
            </w:r>
          </w:p>
        </w:tc>
        <w:tc>
          <w:tcPr>
            <w:tcW w:w="894" w:type="pct"/>
          </w:tcPr>
          <w:p w14:paraId="3A6541F8" w14:textId="73F67BFC" w:rsidR="002D6A81" w:rsidRPr="002D6A81" w:rsidRDefault="002D6A81" w:rsidP="00BD7F32">
            <w:pPr>
              <w:rPr>
                <w:rFonts w:ascii="Arial" w:hAnsi="Arial" w:cs="Arial"/>
                <w:sz w:val="20"/>
                <w:szCs w:val="20"/>
              </w:rPr>
            </w:pPr>
            <w:r w:rsidRPr="002D6A81">
              <w:rPr>
                <w:rFonts w:ascii="Arial" w:hAnsi="Arial" w:cs="Arial"/>
                <w:sz w:val="20"/>
                <w:szCs w:val="20"/>
              </w:rPr>
              <w:t>Item 2 Adamson S19 Subwoofer NL4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D6A81">
              <w:rPr>
                <w:rFonts w:ascii="Arial" w:hAnsi="Arial" w:cs="Arial"/>
                <w:sz w:val="20"/>
                <w:szCs w:val="20"/>
              </w:rPr>
              <w:t>The model number should read S119, not S19</w:t>
            </w:r>
          </w:p>
        </w:tc>
        <w:tc>
          <w:tcPr>
            <w:tcW w:w="907" w:type="pct"/>
          </w:tcPr>
          <w:p w14:paraId="59A08A27" w14:textId="77777777" w:rsidR="002D6A81" w:rsidRPr="00693F88" w:rsidRDefault="002D6A81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pct"/>
          </w:tcPr>
          <w:p w14:paraId="7EE0E9CF" w14:textId="3D57E70C" w:rsidR="002D6A81" w:rsidRPr="00693F88" w:rsidRDefault="00A17FF2" w:rsidP="00AE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Correct, </w:t>
            </w:r>
            <w:r w:rsidRPr="00A17FF2">
              <w:rPr>
                <w:rFonts w:ascii="Arial" w:hAnsi="Arial" w:cs="Arial"/>
                <w:sz w:val="20"/>
                <w:szCs w:val="20"/>
              </w:rPr>
              <w:t xml:space="preserve">Adamson S119 Subwoofer </w:t>
            </w:r>
            <w:hyperlink r:id="rId8" w:history="1">
              <w:r w:rsidRPr="009F1D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https://adamsonsystems.com/Support/Downloads/SPEC_SHEETS/S_SERIES/S119_Technical_Data.pdf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7F32" w:rsidRPr="00693F88" w14:paraId="70705706" w14:textId="77777777" w:rsidTr="002A0486">
        <w:tc>
          <w:tcPr>
            <w:tcW w:w="165" w:type="pct"/>
          </w:tcPr>
          <w:p w14:paraId="5C03F712" w14:textId="0B9AFA85" w:rsidR="00BD7F32" w:rsidRPr="00693F88" w:rsidRDefault="002D6A81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pct"/>
          </w:tcPr>
          <w:p w14:paraId="1F2A4A4D" w14:textId="7A505C22" w:rsidR="00BD7F32" w:rsidRPr="00693F88" w:rsidRDefault="00F16327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02/15/2019</w:t>
            </w:r>
          </w:p>
        </w:tc>
        <w:tc>
          <w:tcPr>
            <w:tcW w:w="423" w:type="pct"/>
          </w:tcPr>
          <w:p w14:paraId="347140DE" w14:textId="1DEFC6BB" w:rsidR="00BD7F32" w:rsidRPr="00693F88" w:rsidRDefault="00F16327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02/22/2019</w:t>
            </w:r>
          </w:p>
        </w:tc>
        <w:tc>
          <w:tcPr>
            <w:tcW w:w="894" w:type="pct"/>
          </w:tcPr>
          <w:p w14:paraId="77D256C4" w14:textId="5892A6D0" w:rsidR="00BD7F32" w:rsidRPr="005C5236" w:rsidRDefault="002D6A81" w:rsidP="00BD7F32">
            <w:pPr>
              <w:rPr>
                <w:rFonts w:ascii="Arial" w:hAnsi="Arial" w:cs="Arial"/>
                <w:sz w:val="20"/>
                <w:szCs w:val="20"/>
              </w:rPr>
            </w:pPr>
            <w:r w:rsidRPr="002D6A81">
              <w:rPr>
                <w:rFonts w:ascii="Arial" w:hAnsi="Arial" w:cs="Arial"/>
                <w:sz w:val="20"/>
                <w:szCs w:val="20"/>
              </w:rPr>
              <w:t>Item 6 Olym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6A81">
              <w:rPr>
                <w:rFonts w:ascii="Arial" w:hAnsi="Arial" w:cs="Arial"/>
                <w:sz w:val="20"/>
                <w:szCs w:val="20"/>
              </w:rPr>
              <w:t>ic Case 12RU Fastrack amp rack</w:t>
            </w:r>
            <w:r>
              <w:rPr>
                <w:rFonts w:ascii="Arial" w:hAnsi="Arial" w:cs="Arial"/>
                <w:sz w:val="20"/>
                <w:szCs w:val="20"/>
              </w:rPr>
              <w:t>; h</w:t>
            </w:r>
            <w:r w:rsidRPr="002D6A81">
              <w:rPr>
                <w:rFonts w:ascii="Arial" w:hAnsi="Arial" w:cs="Arial"/>
                <w:sz w:val="20"/>
                <w:szCs w:val="20"/>
              </w:rPr>
              <w:t>ow deep does the case need to be? Please give us measurement from rail to rail or cover to cover.</w:t>
            </w:r>
          </w:p>
        </w:tc>
        <w:tc>
          <w:tcPr>
            <w:tcW w:w="907" w:type="pct"/>
          </w:tcPr>
          <w:p w14:paraId="6CC1CAF7" w14:textId="343C41EF" w:rsidR="00A17FF2" w:rsidRPr="00A17FF2" w:rsidRDefault="00E325C2" w:rsidP="00A17FF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17FF2" w:rsidRPr="009F1D7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http://olycase.com/2016/10/fastpack-rack/</w:t>
              </w:r>
            </w:hyperlink>
            <w:r w:rsidR="00A17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7A067" w14:textId="61945705" w:rsidR="00BD7F32" w:rsidRPr="00693F88" w:rsidRDefault="00A17FF2" w:rsidP="00A17FF2">
            <w:pPr>
              <w:rPr>
                <w:rFonts w:ascii="Arial" w:hAnsi="Arial" w:cs="Arial"/>
                <w:sz w:val="20"/>
                <w:szCs w:val="20"/>
              </w:rPr>
            </w:pPr>
            <w:r w:rsidRPr="00A17FF2">
              <w:rPr>
                <w:rFonts w:ascii="Arial" w:hAnsi="Arial" w:cs="Arial"/>
                <w:sz w:val="20"/>
                <w:szCs w:val="20"/>
              </w:rPr>
              <w:t xml:space="preserve">Olympic Case Company Fastpack </w:t>
            </w:r>
            <w:proofErr w:type="spellStart"/>
            <w:r w:rsidRPr="00A17FF2">
              <w:rPr>
                <w:rFonts w:ascii="Arial" w:hAnsi="Arial" w:cs="Arial"/>
                <w:sz w:val="20"/>
                <w:szCs w:val="20"/>
              </w:rPr>
              <w:t>Shockmount</w:t>
            </w:r>
            <w:proofErr w:type="spellEnd"/>
            <w:r w:rsidRPr="00A17FF2">
              <w:rPr>
                <w:rFonts w:ascii="Arial" w:hAnsi="Arial" w:cs="Arial"/>
                <w:sz w:val="20"/>
                <w:szCs w:val="20"/>
              </w:rPr>
              <w:t xml:space="preserve"> Racks. The rack must be deep enough to fit a Lab Gruppen D80:4L Amplifier which is 18-1/2” from rack ears to rear edge. We also want each rack to have an </w:t>
            </w:r>
            <w:r w:rsidRPr="00A17FF2">
              <w:rPr>
                <w:rFonts w:ascii="Arial" w:hAnsi="Arial" w:cs="Arial"/>
                <w:sz w:val="20"/>
                <w:szCs w:val="20"/>
              </w:rPr>
              <w:lastRenderedPageBreak/>
              <w:t xml:space="preserve">internal sleeve </w:t>
            </w:r>
            <w:proofErr w:type="spellStart"/>
            <w:r w:rsidRPr="00A17FF2">
              <w:rPr>
                <w:rFonts w:ascii="Arial" w:hAnsi="Arial" w:cs="Arial"/>
                <w:sz w:val="20"/>
                <w:szCs w:val="20"/>
              </w:rPr>
              <w:t>shockmounted</w:t>
            </w:r>
            <w:proofErr w:type="spellEnd"/>
            <w:r w:rsidRPr="00A17FF2">
              <w:rPr>
                <w:rFonts w:ascii="Arial" w:hAnsi="Arial" w:cs="Arial"/>
                <w:sz w:val="20"/>
                <w:szCs w:val="20"/>
              </w:rPr>
              <w:t xml:space="preserve"> inside the main rack case.</w:t>
            </w:r>
          </w:p>
        </w:tc>
        <w:tc>
          <w:tcPr>
            <w:tcW w:w="2143" w:type="pct"/>
          </w:tcPr>
          <w:p w14:paraId="4BB16B5B" w14:textId="71AE77CB" w:rsidR="00AE3065" w:rsidRPr="00693F88" w:rsidRDefault="00AE3065" w:rsidP="00AE3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693F88" w14:paraId="4416F36C" w14:textId="77777777" w:rsidTr="002A0486">
        <w:tc>
          <w:tcPr>
            <w:tcW w:w="165" w:type="pct"/>
          </w:tcPr>
          <w:p w14:paraId="20C780A3" w14:textId="5A1827D3" w:rsidR="00BD7F32" w:rsidRPr="00693F88" w:rsidRDefault="002D6A81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" w:type="pct"/>
          </w:tcPr>
          <w:p w14:paraId="209E9FA5" w14:textId="30C62135" w:rsidR="00BD7F32" w:rsidRPr="00693F88" w:rsidRDefault="00F16327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02/15/2019</w:t>
            </w:r>
          </w:p>
        </w:tc>
        <w:tc>
          <w:tcPr>
            <w:tcW w:w="423" w:type="pct"/>
          </w:tcPr>
          <w:p w14:paraId="005F39CA" w14:textId="50BA02EA" w:rsidR="00BD7F32" w:rsidRPr="00693F88" w:rsidRDefault="00F16327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02/22/2019</w:t>
            </w:r>
          </w:p>
        </w:tc>
        <w:tc>
          <w:tcPr>
            <w:tcW w:w="894" w:type="pct"/>
          </w:tcPr>
          <w:p w14:paraId="60389A60" w14:textId="3C72B634" w:rsidR="00BD7F32" w:rsidRPr="00693F88" w:rsidRDefault="002D6A81" w:rsidP="00BD7F32">
            <w:pPr>
              <w:rPr>
                <w:rFonts w:ascii="Arial" w:hAnsi="Arial" w:cs="Arial"/>
                <w:sz w:val="20"/>
                <w:szCs w:val="20"/>
              </w:rPr>
            </w:pPr>
            <w:r w:rsidRPr="002D6A81">
              <w:rPr>
                <w:rFonts w:ascii="Arial" w:hAnsi="Arial" w:cs="Arial"/>
                <w:sz w:val="20"/>
                <w:szCs w:val="20"/>
              </w:rPr>
              <w:t>Item 6 Olympic Case 12RU Fastrack amp rack</w:t>
            </w:r>
            <w:r>
              <w:rPr>
                <w:rFonts w:ascii="Arial" w:hAnsi="Arial" w:cs="Arial"/>
                <w:sz w:val="20"/>
                <w:szCs w:val="20"/>
              </w:rPr>
              <w:t>, d</w:t>
            </w:r>
            <w:r w:rsidRPr="002D6A81">
              <w:rPr>
                <w:rFonts w:ascii="Arial" w:hAnsi="Arial" w:cs="Arial"/>
                <w:sz w:val="20"/>
                <w:szCs w:val="20"/>
              </w:rPr>
              <w:t>o you need casters?</w:t>
            </w:r>
          </w:p>
        </w:tc>
        <w:tc>
          <w:tcPr>
            <w:tcW w:w="907" w:type="pct"/>
          </w:tcPr>
          <w:p w14:paraId="76874438" w14:textId="5810BE02" w:rsidR="00BD7F32" w:rsidRPr="00693F88" w:rsidRDefault="00A17FF2" w:rsidP="00BD7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43" w:type="pct"/>
          </w:tcPr>
          <w:p w14:paraId="3E50FD6C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693F88" w14:paraId="66BE6EBA" w14:textId="77777777" w:rsidTr="002A0486">
        <w:tc>
          <w:tcPr>
            <w:tcW w:w="165" w:type="pct"/>
          </w:tcPr>
          <w:p w14:paraId="3F85523F" w14:textId="42AD1E58" w:rsidR="00BD7F32" w:rsidRPr="00693F88" w:rsidRDefault="002D6A81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" w:type="pct"/>
          </w:tcPr>
          <w:p w14:paraId="78B116D2" w14:textId="7E57FDDD" w:rsidR="00BD7F32" w:rsidRPr="00693F88" w:rsidRDefault="00F16327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02/15/2019</w:t>
            </w:r>
          </w:p>
        </w:tc>
        <w:tc>
          <w:tcPr>
            <w:tcW w:w="423" w:type="pct"/>
          </w:tcPr>
          <w:p w14:paraId="3CC5719F" w14:textId="4AD177E9" w:rsidR="00BD7F32" w:rsidRPr="00693F88" w:rsidRDefault="00F16327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02/22/2019</w:t>
            </w:r>
          </w:p>
        </w:tc>
        <w:tc>
          <w:tcPr>
            <w:tcW w:w="894" w:type="pct"/>
          </w:tcPr>
          <w:p w14:paraId="7DA4B9FF" w14:textId="249695A1" w:rsidR="00BD7F32" w:rsidRPr="00693F88" w:rsidRDefault="002D6A81" w:rsidP="00BD7F32">
            <w:pPr>
              <w:rPr>
                <w:rFonts w:ascii="Arial" w:hAnsi="Arial" w:cs="Arial"/>
                <w:sz w:val="20"/>
                <w:szCs w:val="20"/>
              </w:rPr>
            </w:pPr>
            <w:r w:rsidRPr="002D6A81">
              <w:rPr>
                <w:rFonts w:ascii="Arial" w:hAnsi="Arial" w:cs="Arial"/>
                <w:sz w:val="20"/>
                <w:szCs w:val="20"/>
              </w:rPr>
              <w:t>Item 6 Olympic Case 12RU Fastrack amp rack</w:t>
            </w:r>
            <w:r>
              <w:rPr>
                <w:rFonts w:ascii="Arial" w:hAnsi="Arial" w:cs="Arial"/>
                <w:sz w:val="20"/>
                <w:szCs w:val="20"/>
              </w:rPr>
              <w:t>, w</w:t>
            </w:r>
            <w:r w:rsidRPr="002D6A81">
              <w:rPr>
                <w:rFonts w:ascii="Arial" w:hAnsi="Arial" w:cs="Arial"/>
                <w:sz w:val="20"/>
                <w:szCs w:val="20"/>
              </w:rPr>
              <w:t>hat color would you like the case to be?</w:t>
            </w:r>
          </w:p>
        </w:tc>
        <w:tc>
          <w:tcPr>
            <w:tcW w:w="907" w:type="pct"/>
          </w:tcPr>
          <w:p w14:paraId="59FAD0A6" w14:textId="77777777" w:rsidR="00A17FF2" w:rsidRPr="00A17FF2" w:rsidRDefault="00A17FF2" w:rsidP="00A17FF2">
            <w:pPr>
              <w:rPr>
                <w:rFonts w:ascii="Arial" w:hAnsi="Arial" w:cs="Arial"/>
                <w:sz w:val="20"/>
                <w:szCs w:val="20"/>
              </w:rPr>
            </w:pPr>
            <w:r w:rsidRPr="00A17FF2">
              <w:rPr>
                <w:rFonts w:ascii="Arial" w:hAnsi="Arial" w:cs="Arial"/>
                <w:sz w:val="20"/>
                <w:szCs w:val="20"/>
              </w:rPr>
              <w:t xml:space="preserve">Black, </w:t>
            </w:r>
          </w:p>
          <w:p w14:paraId="06234713" w14:textId="330C96ED" w:rsidR="00A17FF2" w:rsidRPr="00A17FF2" w:rsidRDefault="00E325C2" w:rsidP="00A17FF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17FF2" w:rsidRPr="009F1D7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http://olycase.com/wp-content/uploads/2016/01/10865064_1386782338284810_352148682_n.jpg</w:t>
              </w:r>
            </w:hyperlink>
            <w:r w:rsidR="00A17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8078A7" w14:textId="77777777" w:rsidR="00BD7F32" w:rsidRPr="001B2943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pct"/>
          </w:tcPr>
          <w:p w14:paraId="62A172D0" w14:textId="77777777" w:rsidR="00BD7F32" w:rsidRPr="001B2943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693F88" w14:paraId="1AE3058D" w14:textId="77777777" w:rsidTr="002A0486">
        <w:tc>
          <w:tcPr>
            <w:tcW w:w="165" w:type="pct"/>
          </w:tcPr>
          <w:p w14:paraId="32AAB541" w14:textId="5E1A9213" w:rsidR="00BD7F32" w:rsidRPr="00693F88" w:rsidRDefault="002D6A81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" w:type="pct"/>
          </w:tcPr>
          <w:p w14:paraId="59F856BA" w14:textId="6DE2C6D5" w:rsidR="00BD7F32" w:rsidRPr="00693F88" w:rsidRDefault="00F16327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02/15/2019</w:t>
            </w:r>
          </w:p>
        </w:tc>
        <w:tc>
          <w:tcPr>
            <w:tcW w:w="423" w:type="pct"/>
          </w:tcPr>
          <w:p w14:paraId="27240ECA" w14:textId="62FEDADD" w:rsidR="00BD7F32" w:rsidRPr="00693F88" w:rsidRDefault="00F16327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0222/2019/</w:t>
            </w:r>
          </w:p>
        </w:tc>
        <w:tc>
          <w:tcPr>
            <w:tcW w:w="894" w:type="pct"/>
          </w:tcPr>
          <w:p w14:paraId="2D582078" w14:textId="7EED1B29" w:rsidR="00BD7F32" w:rsidRPr="001B2943" w:rsidRDefault="002D6A81" w:rsidP="00BD7F32">
            <w:pPr>
              <w:rPr>
                <w:rFonts w:ascii="Arial" w:hAnsi="Arial" w:cs="Arial"/>
                <w:sz w:val="20"/>
                <w:szCs w:val="20"/>
              </w:rPr>
            </w:pPr>
            <w:r w:rsidRPr="002D6A81">
              <w:rPr>
                <w:rFonts w:ascii="Arial" w:hAnsi="Arial" w:cs="Arial"/>
                <w:sz w:val="20"/>
                <w:szCs w:val="20"/>
              </w:rPr>
              <w:t>Item 14 TBD 12 Space Rack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D6A81">
              <w:rPr>
                <w:rFonts w:ascii="Arial" w:hAnsi="Arial" w:cs="Arial"/>
                <w:sz w:val="20"/>
                <w:szCs w:val="20"/>
              </w:rPr>
              <w:t>We need more specifics on the rack please: front and rear rails, doors, shelves, screws, blank panels, casters??? Is there a preferred vendor?</w:t>
            </w:r>
          </w:p>
        </w:tc>
        <w:tc>
          <w:tcPr>
            <w:tcW w:w="907" w:type="pct"/>
          </w:tcPr>
          <w:p w14:paraId="309A8785" w14:textId="77777777" w:rsidR="00A17FF2" w:rsidRPr="00A17FF2" w:rsidRDefault="00A17FF2" w:rsidP="00A17FF2">
            <w:pPr>
              <w:rPr>
                <w:rFonts w:ascii="Arial" w:hAnsi="Arial" w:cs="Arial"/>
                <w:sz w:val="20"/>
                <w:szCs w:val="20"/>
              </w:rPr>
            </w:pPr>
            <w:r w:rsidRPr="00A17FF2">
              <w:rPr>
                <w:rFonts w:ascii="Arial" w:hAnsi="Arial" w:cs="Arial"/>
                <w:sz w:val="20"/>
                <w:szCs w:val="20"/>
              </w:rPr>
              <w:t xml:space="preserve">Same Olympic Fastpack rack case as described above </w:t>
            </w:r>
          </w:p>
          <w:p w14:paraId="28E26134" w14:textId="1314A3A0" w:rsidR="00BD7F32" w:rsidRPr="001B2943" w:rsidRDefault="00E325C2" w:rsidP="00BD7F3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17FF2" w:rsidRPr="009F1D7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http://olycase.com/fastpack-cases/</w:t>
              </w:r>
            </w:hyperlink>
            <w:r w:rsidR="00A17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3" w:type="pct"/>
          </w:tcPr>
          <w:p w14:paraId="0FB7D7EB" w14:textId="77777777" w:rsidR="00BD7F32" w:rsidRPr="001B2943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693F88" w14:paraId="1E9EEB84" w14:textId="77777777" w:rsidTr="002A0486">
        <w:tc>
          <w:tcPr>
            <w:tcW w:w="165" w:type="pct"/>
          </w:tcPr>
          <w:p w14:paraId="1258A806" w14:textId="343747F4" w:rsidR="00BD7F32" w:rsidRPr="00693F88" w:rsidRDefault="002D6A81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" w:type="pct"/>
          </w:tcPr>
          <w:p w14:paraId="6E32B1B0" w14:textId="5AF4A5D1" w:rsidR="00BD7F32" w:rsidRPr="00693F88" w:rsidRDefault="002A0486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02/20/2019</w:t>
            </w:r>
          </w:p>
        </w:tc>
        <w:tc>
          <w:tcPr>
            <w:tcW w:w="423" w:type="pct"/>
          </w:tcPr>
          <w:p w14:paraId="29D7A007" w14:textId="3F939CD5" w:rsidR="00BD7F32" w:rsidRPr="00693F88" w:rsidRDefault="00F16327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02/22/2019</w:t>
            </w:r>
          </w:p>
        </w:tc>
        <w:tc>
          <w:tcPr>
            <w:tcW w:w="894" w:type="pct"/>
          </w:tcPr>
          <w:p w14:paraId="4D7E1940" w14:textId="18D8BD00" w:rsidR="00F6295E" w:rsidRPr="00F6295E" w:rsidRDefault="00F6295E" w:rsidP="00F6295E">
            <w:pPr>
              <w:rPr>
                <w:rFonts w:ascii="Arial" w:hAnsi="Arial" w:cs="Arial"/>
                <w:sz w:val="20"/>
                <w:szCs w:val="20"/>
              </w:rPr>
            </w:pPr>
            <w:r w:rsidRPr="00F6295E">
              <w:rPr>
                <w:rFonts w:ascii="Arial" w:hAnsi="Arial" w:cs="Arial"/>
                <w:sz w:val="20"/>
                <w:szCs w:val="20"/>
              </w:rPr>
              <w:t>Question on Section 5, Specification and Scope of Work, Page 4, Prohibition on Advance Payments</w:t>
            </w:r>
          </w:p>
          <w:p w14:paraId="799B96DF" w14:textId="77777777" w:rsidR="00F6295E" w:rsidRPr="00F6295E" w:rsidRDefault="00F6295E" w:rsidP="00F629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7D50F" w14:textId="77777777" w:rsidR="00F6295E" w:rsidRPr="00F6295E" w:rsidRDefault="00F6295E" w:rsidP="00F6295E">
            <w:pPr>
              <w:rPr>
                <w:rFonts w:ascii="Arial" w:hAnsi="Arial" w:cs="Arial"/>
                <w:sz w:val="20"/>
                <w:szCs w:val="20"/>
              </w:rPr>
            </w:pPr>
            <w:r w:rsidRPr="00F6295E">
              <w:rPr>
                <w:rFonts w:ascii="Arial" w:hAnsi="Arial" w:cs="Arial"/>
                <w:sz w:val="20"/>
                <w:szCs w:val="20"/>
              </w:rPr>
              <w:t>Adamson Speakers has a vendor payment policy of 50% down payment with order, balance due prior to shipment. These terms are noted on the MSRP quote from Adamson attached.</w:t>
            </w:r>
          </w:p>
          <w:p w14:paraId="1EB57798" w14:textId="77777777" w:rsidR="00F6295E" w:rsidRPr="00F6295E" w:rsidRDefault="00F6295E" w:rsidP="00F629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9BF36" w14:textId="77777777" w:rsidR="00F6295E" w:rsidRPr="00F6295E" w:rsidRDefault="00F6295E" w:rsidP="00F6295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295E">
              <w:rPr>
                <w:rFonts w:ascii="Arial" w:hAnsi="Arial" w:cs="Arial"/>
                <w:sz w:val="20"/>
                <w:szCs w:val="20"/>
              </w:rPr>
              <w:t>In light of</w:t>
            </w:r>
            <w:proofErr w:type="gramEnd"/>
            <w:r w:rsidRPr="00F6295E">
              <w:rPr>
                <w:rFonts w:ascii="Arial" w:hAnsi="Arial" w:cs="Arial"/>
                <w:sz w:val="20"/>
                <w:szCs w:val="20"/>
              </w:rPr>
              <w:t xml:space="preserve"> this, is there something the City is able to do to work with the winning bidder on this to mitigate the bidder having to float the cost ($100K </w:t>
            </w:r>
            <w:r w:rsidRPr="00F6295E">
              <w:rPr>
                <w:rFonts w:ascii="Arial" w:hAnsi="Arial" w:cs="Arial"/>
                <w:sz w:val="20"/>
                <w:szCs w:val="20"/>
              </w:rPr>
              <w:lastRenderedPageBreak/>
              <w:t xml:space="preserve">plus) of the Adamson (and other) products for 60 days? </w:t>
            </w:r>
          </w:p>
          <w:p w14:paraId="1AE94EEA" w14:textId="77777777" w:rsidR="00F6295E" w:rsidRPr="00F6295E" w:rsidRDefault="00F6295E" w:rsidP="00F629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30662" w14:textId="3276CFF4" w:rsidR="00BD7F32" w:rsidRPr="00693F88" w:rsidRDefault="00F6295E" w:rsidP="00F6295E">
            <w:pPr>
              <w:rPr>
                <w:rFonts w:ascii="Arial" w:hAnsi="Arial" w:cs="Arial"/>
                <w:sz w:val="20"/>
                <w:szCs w:val="20"/>
              </w:rPr>
            </w:pPr>
            <w:r w:rsidRPr="00F629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B2039" w:rsidRPr="00F6295E">
              <w:rPr>
                <w:rFonts w:ascii="Arial" w:hAnsi="Arial" w:cs="Arial"/>
                <w:sz w:val="20"/>
                <w:szCs w:val="20"/>
              </w:rPr>
              <w:t>60-day</w:t>
            </w:r>
            <w:r w:rsidRPr="00F6295E">
              <w:rPr>
                <w:rFonts w:ascii="Arial" w:hAnsi="Arial" w:cs="Arial"/>
                <w:sz w:val="20"/>
                <w:szCs w:val="20"/>
              </w:rPr>
              <w:t xml:space="preserve"> calculation is based upon their normal lead time ARO at 3-4 weeks and shipping time from Canada at a week. Once we invoice then City of Seattle terms are I believe Net 30?</w:t>
            </w:r>
          </w:p>
        </w:tc>
        <w:tc>
          <w:tcPr>
            <w:tcW w:w="907" w:type="pct"/>
          </w:tcPr>
          <w:p w14:paraId="6AB8AF45" w14:textId="419AEC7C" w:rsidR="00BD7F32" w:rsidRPr="001B2943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pct"/>
          </w:tcPr>
          <w:p w14:paraId="4A28E9D2" w14:textId="5947E861" w:rsidR="00BD7F32" w:rsidRPr="001B2943" w:rsidRDefault="008B2039" w:rsidP="00BD7F32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039">
              <w:rPr>
                <w:rFonts w:ascii="Arial" w:hAnsi="Arial" w:cs="Arial"/>
                <w:sz w:val="20"/>
                <w:szCs w:val="20"/>
              </w:rPr>
              <w:t>The City will negotiate progress payment terms with the successful bidder to address the Manufacturers payment policy to mitigate the successful bidders float.</w:t>
            </w:r>
          </w:p>
        </w:tc>
      </w:tr>
      <w:tr w:rsidR="00BD7F32" w:rsidRPr="00693F88" w14:paraId="558C3F4F" w14:textId="77777777" w:rsidTr="002A0486">
        <w:tc>
          <w:tcPr>
            <w:tcW w:w="165" w:type="pct"/>
          </w:tcPr>
          <w:p w14:paraId="51BDF2B4" w14:textId="1825126E" w:rsidR="00BD7F32" w:rsidRPr="00693F88" w:rsidRDefault="002D6A81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" w:type="pct"/>
          </w:tcPr>
          <w:p w14:paraId="7F14D5BA" w14:textId="41D067A0" w:rsidR="00BD7F32" w:rsidRPr="00693F88" w:rsidRDefault="00F16327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02/22/2019</w:t>
            </w:r>
          </w:p>
        </w:tc>
        <w:tc>
          <w:tcPr>
            <w:tcW w:w="423" w:type="pct"/>
          </w:tcPr>
          <w:p w14:paraId="5D5847D0" w14:textId="44EAF3D5" w:rsidR="00BD7F32" w:rsidRPr="00693F88" w:rsidRDefault="00D63FC1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02/25/2019</w:t>
            </w:r>
          </w:p>
        </w:tc>
        <w:tc>
          <w:tcPr>
            <w:tcW w:w="894" w:type="pct"/>
          </w:tcPr>
          <w:p w14:paraId="2E9BACD4" w14:textId="77777777" w:rsidR="002A0486" w:rsidRPr="002A0486" w:rsidRDefault="002A0486" w:rsidP="002A0486">
            <w:pPr>
              <w:rPr>
                <w:rFonts w:ascii="Arial" w:hAnsi="Arial" w:cs="Arial"/>
                <w:sz w:val="20"/>
                <w:szCs w:val="20"/>
              </w:rPr>
            </w:pPr>
            <w:r w:rsidRPr="002A0486">
              <w:rPr>
                <w:rFonts w:ascii="Arial" w:hAnsi="Arial" w:cs="Arial"/>
                <w:sz w:val="20"/>
                <w:szCs w:val="20"/>
              </w:rPr>
              <w:t>It appears that the model # for the cable is off at the end by one letter. It should read PC224T for standard application or TC224TP for Plenum application.</w:t>
            </w:r>
          </w:p>
          <w:p w14:paraId="25421251" w14:textId="77777777" w:rsidR="002A0486" w:rsidRPr="002A0486" w:rsidRDefault="002A0486" w:rsidP="002A0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7F186" w14:textId="5C26D95B" w:rsidR="00BD7F32" w:rsidRPr="00693F88" w:rsidRDefault="00E325C2" w:rsidP="002A0486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A0486" w:rsidRPr="00D8136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http://pub.tmb.com/ProPlex/DataCables/pdf/ProPlexT-LTR-web.pdf</w:t>
              </w:r>
            </w:hyperlink>
            <w:r w:rsidR="002A04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pct"/>
          </w:tcPr>
          <w:p w14:paraId="778957ED" w14:textId="77777777" w:rsidR="00BD7F32" w:rsidRPr="001B2943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pct"/>
          </w:tcPr>
          <w:p w14:paraId="6AFF0C6A" w14:textId="006E8A64" w:rsidR="00BD7F32" w:rsidRPr="001B2943" w:rsidRDefault="00D63FC1" w:rsidP="00BD7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model # for cable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read </w:t>
            </w:r>
            <w:r>
              <w:t xml:space="preserve"> </w:t>
            </w:r>
            <w:r w:rsidRPr="00D63FC1">
              <w:rPr>
                <w:rFonts w:ascii="Arial" w:hAnsi="Arial" w:cs="Arial"/>
                <w:sz w:val="20"/>
                <w:szCs w:val="20"/>
              </w:rPr>
              <w:t>PC</w:t>
            </w:r>
            <w:proofErr w:type="gramEnd"/>
            <w:r w:rsidRPr="00D63FC1">
              <w:rPr>
                <w:rFonts w:ascii="Arial" w:hAnsi="Arial" w:cs="Arial"/>
                <w:sz w:val="20"/>
                <w:szCs w:val="20"/>
              </w:rPr>
              <w:t>224T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7F32" w:rsidRPr="00693F88" w14:paraId="7399CACE" w14:textId="77777777" w:rsidTr="002A0486">
        <w:tc>
          <w:tcPr>
            <w:tcW w:w="165" w:type="pct"/>
          </w:tcPr>
          <w:p w14:paraId="00659CD5" w14:textId="10C56869" w:rsidR="00BD7F32" w:rsidRPr="00693F88" w:rsidRDefault="002D6A81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" w:type="pct"/>
          </w:tcPr>
          <w:p w14:paraId="553E56C4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pct"/>
          </w:tcPr>
          <w:p w14:paraId="539390AB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14:paraId="5F21D4D3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pct"/>
          </w:tcPr>
          <w:p w14:paraId="2FEE814A" w14:textId="77777777" w:rsidR="00BD7F32" w:rsidRPr="001B2943" w:rsidRDefault="00BD7F32" w:rsidP="00BD7F3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43" w:type="pct"/>
          </w:tcPr>
          <w:p w14:paraId="6BE2B72B" w14:textId="77777777" w:rsidR="00BD7F32" w:rsidRPr="001B2943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32" w:rsidRPr="00693F88" w14:paraId="39C13742" w14:textId="77777777" w:rsidTr="002A0486">
        <w:tc>
          <w:tcPr>
            <w:tcW w:w="165" w:type="pct"/>
          </w:tcPr>
          <w:p w14:paraId="6E06271C" w14:textId="30D01CDF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88">
              <w:rPr>
                <w:rFonts w:ascii="Arial" w:hAnsi="Arial" w:cs="Arial"/>
                <w:sz w:val="20"/>
                <w:szCs w:val="20"/>
              </w:rPr>
              <w:t>1</w:t>
            </w:r>
            <w:r w:rsidR="002D6A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" w:type="pct"/>
          </w:tcPr>
          <w:p w14:paraId="7D175B1F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pct"/>
          </w:tcPr>
          <w:p w14:paraId="040FC181" w14:textId="77777777" w:rsidR="00BD7F32" w:rsidRPr="00693F88" w:rsidRDefault="00BD7F32" w:rsidP="00BD7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14:paraId="6B7F3479" w14:textId="77777777" w:rsidR="00BD7F32" w:rsidRPr="00693F88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pct"/>
          </w:tcPr>
          <w:p w14:paraId="0A0CF228" w14:textId="77777777" w:rsidR="00BD7F32" w:rsidRPr="001B2943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pct"/>
          </w:tcPr>
          <w:p w14:paraId="2DB2A719" w14:textId="77777777" w:rsidR="00BD7F32" w:rsidRPr="001B2943" w:rsidRDefault="00BD7F32" w:rsidP="00BD7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1BC43" w14:textId="77777777" w:rsidR="00BD7F32" w:rsidRPr="00693F88" w:rsidRDefault="00BD7F32" w:rsidP="00466F5B">
      <w:pPr>
        <w:rPr>
          <w:rFonts w:ascii="Arial" w:hAnsi="Arial" w:cs="Arial"/>
          <w:sz w:val="20"/>
          <w:szCs w:val="20"/>
        </w:rPr>
      </w:pPr>
    </w:p>
    <w:sectPr w:rsidR="00BD7F32" w:rsidRPr="00693F88" w:rsidSect="00FA72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4EB30" w14:textId="77777777" w:rsidR="00E325C2" w:rsidRDefault="00E325C2">
      <w:r>
        <w:separator/>
      </w:r>
    </w:p>
  </w:endnote>
  <w:endnote w:type="continuationSeparator" w:id="0">
    <w:p w14:paraId="5E8E1154" w14:textId="77777777" w:rsidR="00E325C2" w:rsidRDefault="00E3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ADFC" w14:textId="77777777" w:rsidR="001B54DA" w:rsidRDefault="001B5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7BBC" w14:textId="77777777" w:rsidR="00693F88" w:rsidRPr="00E84ED2" w:rsidRDefault="00693F88" w:rsidP="00E84ED2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 w:rsidRPr="00E84ED2">
      <w:rPr>
        <w:rFonts w:ascii="Arial" w:hAnsi="Arial" w:cs="Arial"/>
        <w:sz w:val="20"/>
        <w:szCs w:val="20"/>
      </w:rPr>
      <w:t xml:space="preserve">Page </w:t>
    </w:r>
    <w:r w:rsidRPr="00E84ED2">
      <w:rPr>
        <w:rFonts w:ascii="Arial" w:hAnsi="Arial" w:cs="Arial"/>
        <w:sz w:val="20"/>
        <w:szCs w:val="20"/>
      </w:rPr>
      <w:fldChar w:fldCharType="begin"/>
    </w:r>
    <w:r w:rsidRPr="00E84ED2">
      <w:rPr>
        <w:rFonts w:ascii="Arial" w:hAnsi="Arial" w:cs="Arial"/>
        <w:sz w:val="20"/>
        <w:szCs w:val="20"/>
      </w:rPr>
      <w:instrText xml:space="preserve"> PAGE </w:instrText>
    </w:r>
    <w:r w:rsidRPr="00E84ED2">
      <w:rPr>
        <w:rFonts w:ascii="Arial" w:hAnsi="Arial" w:cs="Arial"/>
        <w:sz w:val="20"/>
        <w:szCs w:val="20"/>
      </w:rPr>
      <w:fldChar w:fldCharType="separate"/>
    </w:r>
    <w:r w:rsidR="00D53979">
      <w:rPr>
        <w:rFonts w:ascii="Arial" w:hAnsi="Arial" w:cs="Arial"/>
        <w:noProof/>
        <w:sz w:val="20"/>
        <w:szCs w:val="20"/>
      </w:rPr>
      <w:t>1</w:t>
    </w:r>
    <w:r w:rsidRPr="00E84ED2">
      <w:rPr>
        <w:rFonts w:ascii="Arial" w:hAnsi="Arial" w:cs="Arial"/>
        <w:sz w:val="20"/>
        <w:szCs w:val="20"/>
      </w:rPr>
      <w:fldChar w:fldCharType="end"/>
    </w:r>
    <w:r w:rsidRPr="00E84ED2">
      <w:rPr>
        <w:rFonts w:ascii="Arial" w:hAnsi="Arial" w:cs="Arial"/>
        <w:sz w:val="20"/>
        <w:szCs w:val="20"/>
      </w:rPr>
      <w:t xml:space="preserve"> of </w:t>
    </w:r>
    <w:r w:rsidRPr="00E84ED2">
      <w:rPr>
        <w:rFonts w:ascii="Arial" w:hAnsi="Arial" w:cs="Arial"/>
        <w:sz w:val="20"/>
        <w:szCs w:val="20"/>
      </w:rPr>
      <w:fldChar w:fldCharType="begin"/>
    </w:r>
    <w:r w:rsidRPr="00E84ED2">
      <w:rPr>
        <w:rFonts w:ascii="Arial" w:hAnsi="Arial" w:cs="Arial"/>
        <w:sz w:val="20"/>
        <w:szCs w:val="20"/>
      </w:rPr>
      <w:instrText xml:space="preserve"> NUMPAGES </w:instrText>
    </w:r>
    <w:r w:rsidRPr="00E84ED2">
      <w:rPr>
        <w:rFonts w:ascii="Arial" w:hAnsi="Arial" w:cs="Arial"/>
        <w:sz w:val="20"/>
        <w:szCs w:val="20"/>
      </w:rPr>
      <w:fldChar w:fldCharType="separate"/>
    </w:r>
    <w:r w:rsidR="00D53979">
      <w:rPr>
        <w:rFonts w:ascii="Arial" w:hAnsi="Arial" w:cs="Arial"/>
        <w:noProof/>
        <w:sz w:val="20"/>
        <w:szCs w:val="20"/>
      </w:rPr>
      <w:t>1</w:t>
    </w:r>
    <w:r w:rsidRPr="00E84ED2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D363" w14:textId="77777777" w:rsidR="001B54DA" w:rsidRDefault="001B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0E80C" w14:textId="77777777" w:rsidR="00E325C2" w:rsidRDefault="00E325C2">
      <w:r>
        <w:separator/>
      </w:r>
    </w:p>
  </w:footnote>
  <w:footnote w:type="continuationSeparator" w:id="0">
    <w:p w14:paraId="12DE7608" w14:textId="77777777" w:rsidR="00E325C2" w:rsidRDefault="00E3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6AE7" w14:textId="77777777" w:rsidR="001B54DA" w:rsidRDefault="001B5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B26F" w14:textId="77777777" w:rsidR="008A68D1" w:rsidRDefault="00693F88" w:rsidP="00BE1B4A">
    <w:pPr>
      <w:pStyle w:val="Header"/>
      <w:jc w:val="center"/>
      <w:rPr>
        <w:rFonts w:ascii="Arial" w:hAnsi="Arial" w:cs="Arial"/>
      </w:rPr>
    </w:pPr>
    <w:r w:rsidRPr="00A81D96">
      <w:rPr>
        <w:rFonts w:ascii="Arial" w:hAnsi="Arial" w:cs="Arial"/>
      </w:rPr>
      <w:t xml:space="preserve">City of Seattle </w:t>
    </w:r>
    <w:r>
      <w:rPr>
        <w:rFonts w:ascii="Arial" w:hAnsi="Arial" w:cs="Arial"/>
      </w:rPr>
      <w:t xml:space="preserve">Invitation to Bid </w:t>
    </w:r>
  </w:p>
  <w:p w14:paraId="019E13CF" w14:textId="77777777" w:rsidR="00693F88" w:rsidRPr="00E84ED2" w:rsidRDefault="00693F88" w:rsidP="00BE1B4A">
    <w:pPr>
      <w:pStyle w:val="Header"/>
      <w:jc w:val="center"/>
      <w:rPr>
        <w:rFonts w:ascii="Arial" w:hAnsi="Arial" w:cs="Arial"/>
        <w:sz w:val="28"/>
        <w:szCs w:val="28"/>
      </w:rPr>
    </w:pPr>
    <w:r w:rsidRPr="00E84ED2">
      <w:rPr>
        <w:rFonts w:ascii="Arial" w:hAnsi="Arial" w:cs="Arial"/>
        <w:sz w:val="28"/>
        <w:szCs w:val="28"/>
      </w:rPr>
      <w:t xml:space="preserve">Addendum </w:t>
    </w:r>
  </w:p>
  <w:p w14:paraId="286AAA9E" w14:textId="75F81F00" w:rsidR="00693F88" w:rsidRDefault="008A68D1" w:rsidP="00BE1B4A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Updated on:</w:t>
    </w:r>
    <w:r w:rsidR="00B166F9">
      <w:rPr>
        <w:rFonts w:ascii="Arial" w:hAnsi="Arial" w:cs="Arial"/>
        <w:b/>
        <w:sz w:val="22"/>
        <w:szCs w:val="22"/>
      </w:rPr>
      <w:t xml:space="preserve"> 02/</w:t>
    </w:r>
    <w:r w:rsidR="001B54DA">
      <w:rPr>
        <w:rFonts w:ascii="Arial" w:hAnsi="Arial" w:cs="Arial"/>
        <w:b/>
        <w:sz w:val="22"/>
        <w:szCs w:val="22"/>
      </w:rPr>
      <w:t>2</w:t>
    </w:r>
    <w:r w:rsidR="00D63FC1">
      <w:rPr>
        <w:rFonts w:ascii="Arial" w:hAnsi="Arial" w:cs="Arial"/>
        <w:b/>
        <w:sz w:val="22"/>
        <w:szCs w:val="22"/>
      </w:rPr>
      <w:t>5</w:t>
    </w:r>
    <w:r w:rsidR="00B166F9">
      <w:rPr>
        <w:rFonts w:ascii="Arial" w:hAnsi="Arial" w:cs="Arial"/>
        <w:b/>
        <w:sz w:val="22"/>
        <w:szCs w:val="22"/>
      </w:rPr>
      <w:t>/2019</w:t>
    </w:r>
  </w:p>
  <w:p w14:paraId="1F202EA4" w14:textId="77777777" w:rsidR="00693F88" w:rsidRPr="00000549" w:rsidRDefault="00693F88" w:rsidP="00A81D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E71F" w14:textId="77777777" w:rsidR="001B54DA" w:rsidRDefault="001B5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07864"/>
    <w:multiLevelType w:val="hybridMultilevel"/>
    <w:tmpl w:val="DFAC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04B89"/>
    <w:multiLevelType w:val="hybridMultilevel"/>
    <w:tmpl w:val="3E04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E2"/>
    <w:rsid w:val="00000549"/>
    <w:rsid w:val="00023305"/>
    <w:rsid w:val="00025D6B"/>
    <w:rsid w:val="0004305A"/>
    <w:rsid w:val="0005531B"/>
    <w:rsid w:val="00061E52"/>
    <w:rsid w:val="000677A0"/>
    <w:rsid w:val="0009302C"/>
    <w:rsid w:val="000B137C"/>
    <w:rsid w:val="000E077F"/>
    <w:rsid w:val="000E7F68"/>
    <w:rsid w:val="001000F5"/>
    <w:rsid w:val="00120B72"/>
    <w:rsid w:val="00131AA4"/>
    <w:rsid w:val="00150B2C"/>
    <w:rsid w:val="00186F2A"/>
    <w:rsid w:val="001B2943"/>
    <w:rsid w:val="001B54DA"/>
    <w:rsid w:val="001D4189"/>
    <w:rsid w:val="00200720"/>
    <w:rsid w:val="00227D2A"/>
    <w:rsid w:val="00245FEF"/>
    <w:rsid w:val="002533F5"/>
    <w:rsid w:val="0026446C"/>
    <w:rsid w:val="00275A4B"/>
    <w:rsid w:val="00290C7A"/>
    <w:rsid w:val="002A0486"/>
    <w:rsid w:val="002A1E61"/>
    <w:rsid w:val="002A74FC"/>
    <w:rsid w:val="002B7D87"/>
    <w:rsid w:val="002D28F5"/>
    <w:rsid w:val="002D6A81"/>
    <w:rsid w:val="002E5AA1"/>
    <w:rsid w:val="00302C4D"/>
    <w:rsid w:val="003161EA"/>
    <w:rsid w:val="00321AF2"/>
    <w:rsid w:val="00323247"/>
    <w:rsid w:val="00325AAB"/>
    <w:rsid w:val="003336C4"/>
    <w:rsid w:val="003601BC"/>
    <w:rsid w:val="0036172D"/>
    <w:rsid w:val="003757CF"/>
    <w:rsid w:val="00381CC8"/>
    <w:rsid w:val="003A61A6"/>
    <w:rsid w:val="003B7598"/>
    <w:rsid w:val="003C3907"/>
    <w:rsid w:val="003D0889"/>
    <w:rsid w:val="003E1144"/>
    <w:rsid w:val="00400E1B"/>
    <w:rsid w:val="00413081"/>
    <w:rsid w:val="00414759"/>
    <w:rsid w:val="00415172"/>
    <w:rsid w:val="004158DE"/>
    <w:rsid w:val="00465E1E"/>
    <w:rsid w:val="00466F5B"/>
    <w:rsid w:val="00483BDD"/>
    <w:rsid w:val="004852AB"/>
    <w:rsid w:val="004D506B"/>
    <w:rsid w:val="004F35FE"/>
    <w:rsid w:val="00507248"/>
    <w:rsid w:val="0051212B"/>
    <w:rsid w:val="0051500C"/>
    <w:rsid w:val="005153A1"/>
    <w:rsid w:val="00526DCE"/>
    <w:rsid w:val="00527C8A"/>
    <w:rsid w:val="00531837"/>
    <w:rsid w:val="00546BAD"/>
    <w:rsid w:val="0056229C"/>
    <w:rsid w:val="00580909"/>
    <w:rsid w:val="00597D44"/>
    <w:rsid w:val="005B5FDE"/>
    <w:rsid w:val="005B70FB"/>
    <w:rsid w:val="005C5236"/>
    <w:rsid w:val="005C6247"/>
    <w:rsid w:val="005E1D20"/>
    <w:rsid w:val="006235E8"/>
    <w:rsid w:val="006375DF"/>
    <w:rsid w:val="00675AB3"/>
    <w:rsid w:val="00693609"/>
    <w:rsid w:val="00693F88"/>
    <w:rsid w:val="006A5BDF"/>
    <w:rsid w:val="006C190E"/>
    <w:rsid w:val="006D2A48"/>
    <w:rsid w:val="006D4639"/>
    <w:rsid w:val="006D5AC9"/>
    <w:rsid w:val="006D6046"/>
    <w:rsid w:val="006E6617"/>
    <w:rsid w:val="006F5644"/>
    <w:rsid w:val="006F573F"/>
    <w:rsid w:val="0070629E"/>
    <w:rsid w:val="00707234"/>
    <w:rsid w:val="00707642"/>
    <w:rsid w:val="0072550C"/>
    <w:rsid w:val="00730E63"/>
    <w:rsid w:val="00752D45"/>
    <w:rsid w:val="00762A9D"/>
    <w:rsid w:val="00767736"/>
    <w:rsid w:val="0077355F"/>
    <w:rsid w:val="00775B7E"/>
    <w:rsid w:val="007932E2"/>
    <w:rsid w:val="007A4D7B"/>
    <w:rsid w:val="007B7CBA"/>
    <w:rsid w:val="0080364E"/>
    <w:rsid w:val="00811E97"/>
    <w:rsid w:val="00816BD3"/>
    <w:rsid w:val="00841848"/>
    <w:rsid w:val="0085339C"/>
    <w:rsid w:val="0085765A"/>
    <w:rsid w:val="00886A8C"/>
    <w:rsid w:val="008A68D1"/>
    <w:rsid w:val="008B2039"/>
    <w:rsid w:val="00900379"/>
    <w:rsid w:val="009016EF"/>
    <w:rsid w:val="009114FC"/>
    <w:rsid w:val="0092193B"/>
    <w:rsid w:val="00934F33"/>
    <w:rsid w:val="00955493"/>
    <w:rsid w:val="009755F7"/>
    <w:rsid w:val="00986DA8"/>
    <w:rsid w:val="00995F60"/>
    <w:rsid w:val="009B0B30"/>
    <w:rsid w:val="009B0BB8"/>
    <w:rsid w:val="009E7777"/>
    <w:rsid w:val="009F5096"/>
    <w:rsid w:val="009F790E"/>
    <w:rsid w:val="00A11A24"/>
    <w:rsid w:val="00A17FF2"/>
    <w:rsid w:val="00A23016"/>
    <w:rsid w:val="00A230A1"/>
    <w:rsid w:val="00A32D2E"/>
    <w:rsid w:val="00A50B87"/>
    <w:rsid w:val="00A63677"/>
    <w:rsid w:val="00A774B4"/>
    <w:rsid w:val="00A81D96"/>
    <w:rsid w:val="00A872AE"/>
    <w:rsid w:val="00A94578"/>
    <w:rsid w:val="00AC0CC9"/>
    <w:rsid w:val="00AE3065"/>
    <w:rsid w:val="00AF3193"/>
    <w:rsid w:val="00B1063B"/>
    <w:rsid w:val="00B166F9"/>
    <w:rsid w:val="00B355AE"/>
    <w:rsid w:val="00B422C9"/>
    <w:rsid w:val="00B61232"/>
    <w:rsid w:val="00B679BA"/>
    <w:rsid w:val="00B80423"/>
    <w:rsid w:val="00B85006"/>
    <w:rsid w:val="00B863EB"/>
    <w:rsid w:val="00B90811"/>
    <w:rsid w:val="00BA12A0"/>
    <w:rsid w:val="00BB73A3"/>
    <w:rsid w:val="00BD25EC"/>
    <w:rsid w:val="00BD7F32"/>
    <w:rsid w:val="00BE093F"/>
    <w:rsid w:val="00BE1B4A"/>
    <w:rsid w:val="00C0593E"/>
    <w:rsid w:val="00C12D29"/>
    <w:rsid w:val="00C5107B"/>
    <w:rsid w:val="00C971FC"/>
    <w:rsid w:val="00CA20C3"/>
    <w:rsid w:val="00CA71A7"/>
    <w:rsid w:val="00CC1605"/>
    <w:rsid w:val="00CC48B3"/>
    <w:rsid w:val="00CD76BA"/>
    <w:rsid w:val="00CF0E5D"/>
    <w:rsid w:val="00CF7195"/>
    <w:rsid w:val="00D02395"/>
    <w:rsid w:val="00D036FA"/>
    <w:rsid w:val="00D11D71"/>
    <w:rsid w:val="00D157B7"/>
    <w:rsid w:val="00D23095"/>
    <w:rsid w:val="00D3018F"/>
    <w:rsid w:val="00D44F12"/>
    <w:rsid w:val="00D47952"/>
    <w:rsid w:val="00D53979"/>
    <w:rsid w:val="00D56EAC"/>
    <w:rsid w:val="00D5747F"/>
    <w:rsid w:val="00D60242"/>
    <w:rsid w:val="00D63FC1"/>
    <w:rsid w:val="00D9056F"/>
    <w:rsid w:val="00DC1E27"/>
    <w:rsid w:val="00DC602D"/>
    <w:rsid w:val="00E006C3"/>
    <w:rsid w:val="00E325C2"/>
    <w:rsid w:val="00E73305"/>
    <w:rsid w:val="00E73DF2"/>
    <w:rsid w:val="00E84ED2"/>
    <w:rsid w:val="00E92D21"/>
    <w:rsid w:val="00EA6E74"/>
    <w:rsid w:val="00EB1FA8"/>
    <w:rsid w:val="00EB44EA"/>
    <w:rsid w:val="00EC17D3"/>
    <w:rsid w:val="00ED060C"/>
    <w:rsid w:val="00ED41E2"/>
    <w:rsid w:val="00ED7615"/>
    <w:rsid w:val="00F16327"/>
    <w:rsid w:val="00F20065"/>
    <w:rsid w:val="00F41EDD"/>
    <w:rsid w:val="00F610EB"/>
    <w:rsid w:val="00F6295E"/>
    <w:rsid w:val="00F62D91"/>
    <w:rsid w:val="00F75457"/>
    <w:rsid w:val="00F82347"/>
    <w:rsid w:val="00F838D0"/>
    <w:rsid w:val="00F9175A"/>
    <w:rsid w:val="00F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8D671"/>
  <w15:chartTrackingRefBased/>
  <w15:docId w15:val="{EBFFA503-6483-4F9B-99D7-2472530F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2D29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1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1B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533F5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styleId="PageNumber">
    <w:name w:val="page number"/>
    <w:basedOn w:val="DefaultParagraphFont"/>
    <w:rsid w:val="00FA72A8"/>
  </w:style>
  <w:style w:type="character" w:customStyle="1" w:styleId="Heading1Char">
    <w:name w:val="Heading 1 Char"/>
    <w:link w:val="Heading1"/>
    <w:rsid w:val="00C12D29"/>
    <w:rPr>
      <w:b/>
    </w:rPr>
  </w:style>
  <w:style w:type="paragraph" w:styleId="ListParagraph">
    <w:name w:val="List Paragraph"/>
    <w:basedOn w:val="Normal"/>
    <w:uiPriority w:val="34"/>
    <w:qFormat/>
    <w:rsid w:val="00BD7F32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D7F3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D7F32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52D4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msonsystems.com/Support/Downloads/SPEC_SHEETS/S_SERIES/S119_Technical_Data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damsonsystems.com/en/product/s-series/s10n" TargetMode="External"/><Relationship Id="rId12" Type="http://schemas.openxmlformats.org/officeDocument/2006/relationships/hyperlink" Target="http://pub.tmb.com/ProPlex/DataCables/pdf/ProPlexT-LTR-web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ycase.com/fastpack-cas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lycase.com/wp-content/uploads/2016/01/10865064_1386782338284810_352148682_n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ycase.com/2016/10/fastpack-rack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#</vt:lpstr>
    </vt:vector>
  </TitlesOfParts>
  <Company>City of Seattle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#</dc:title>
  <dc:subject/>
  <dc:creator>PCTech</dc:creator>
  <cp:keywords/>
  <cp:lastModifiedBy>Wong, Carol</cp:lastModifiedBy>
  <cp:revision>2</cp:revision>
  <cp:lastPrinted>2012-01-11T21:51:00Z</cp:lastPrinted>
  <dcterms:created xsi:type="dcterms:W3CDTF">2019-02-25T20:46:00Z</dcterms:created>
  <dcterms:modified xsi:type="dcterms:W3CDTF">2019-02-25T20:46:00Z</dcterms:modified>
</cp:coreProperties>
</file>