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0A430B88"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385BC1">
        <w:rPr>
          <w:rFonts w:ascii="Cambria" w:hAnsi="Cambria" w:cs="Arial"/>
          <w:b/>
          <w:color w:val="auto"/>
        </w:rPr>
        <w:t>SCL-</w:t>
      </w:r>
      <w:r w:rsidR="003376B3">
        <w:rPr>
          <w:rFonts w:ascii="Cambria" w:hAnsi="Cambria" w:cs="Arial"/>
          <w:b/>
          <w:color w:val="auto"/>
        </w:rPr>
        <w:t>4736</w:t>
      </w:r>
    </w:p>
    <w:p w14:paraId="7C3920A4" w14:textId="7706C3AB"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AA198F">
        <w:rPr>
          <w:rFonts w:ascii="Cambria" w:hAnsi="Cambria" w:cs="Arial"/>
          <w:b/>
          <w:color w:val="auto"/>
        </w:rPr>
        <w:t>Transformers, Distribution, Single Phase, Submersible w/ Natural Ester Fluid</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06139008" w:rsidR="00D90B66" w:rsidRPr="00466A1C" w:rsidRDefault="000C6A22" w:rsidP="00B10021">
            <w:pPr>
              <w:ind w:left="123"/>
              <w:jc w:val="center"/>
              <w:rPr>
                <w:rFonts w:ascii="Cambria" w:hAnsi="Cambria" w:cs="Arial"/>
                <w:color w:val="auto"/>
              </w:rPr>
            </w:pPr>
            <w:r>
              <w:rPr>
                <w:rFonts w:ascii="Cambria" w:hAnsi="Cambria" w:cs="Arial"/>
                <w:color w:val="auto"/>
              </w:rPr>
              <w:t>February 14, 2019</w:t>
            </w:r>
          </w:p>
        </w:tc>
      </w:tr>
      <w:tr w:rsidR="00D90B66" w:rsidRPr="00466A1C" w14:paraId="72A3BE54" w14:textId="77777777" w:rsidTr="00D90B66">
        <w:tc>
          <w:tcPr>
            <w:tcW w:w="3798" w:type="dxa"/>
          </w:tcPr>
          <w:p w14:paraId="72FA4403" w14:textId="77777777" w:rsidR="00D90B66" w:rsidRDefault="00D90B66" w:rsidP="000C6A22">
            <w:pPr>
              <w:spacing w:after="0" w:line="240" w:lineRule="auto"/>
              <w:ind w:left="230"/>
              <w:jc w:val="center"/>
              <w:rPr>
                <w:rFonts w:ascii="Cambria" w:hAnsi="Cambria" w:cs="Arial"/>
                <w:color w:val="auto"/>
              </w:rPr>
            </w:pPr>
            <w:r w:rsidRPr="00466A1C">
              <w:rPr>
                <w:rFonts w:ascii="Cambria" w:hAnsi="Cambria" w:cs="Arial"/>
                <w:color w:val="auto"/>
              </w:rPr>
              <w:t>Pre-Bid Conference (Optional)</w:t>
            </w:r>
          </w:p>
          <w:p w14:paraId="23D8FED0" w14:textId="77777777" w:rsidR="000C6A22" w:rsidRDefault="000C6A22" w:rsidP="000C6A22">
            <w:pPr>
              <w:spacing w:after="0" w:line="240" w:lineRule="auto"/>
              <w:ind w:left="230"/>
              <w:jc w:val="center"/>
              <w:rPr>
                <w:rFonts w:ascii="Cambria" w:hAnsi="Cambria" w:cs="Arial"/>
                <w:color w:val="auto"/>
              </w:rPr>
            </w:pPr>
            <w:r>
              <w:rPr>
                <w:rFonts w:ascii="Cambria" w:hAnsi="Cambria" w:cs="Arial"/>
                <w:color w:val="auto"/>
              </w:rPr>
              <w:t>Seattle Municipal Tower</w:t>
            </w:r>
          </w:p>
          <w:p w14:paraId="485E56AC" w14:textId="77777777" w:rsidR="000C6A22" w:rsidRDefault="000C6A22" w:rsidP="000C6A22">
            <w:pPr>
              <w:spacing w:after="0" w:line="240" w:lineRule="auto"/>
              <w:ind w:left="230"/>
              <w:jc w:val="center"/>
              <w:rPr>
                <w:rFonts w:ascii="Cambria" w:hAnsi="Cambria" w:cs="Arial"/>
                <w:color w:val="auto"/>
              </w:rPr>
            </w:pPr>
            <w:r>
              <w:rPr>
                <w:rFonts w:ascii="Cambria" w:hAnsi="Cambria" w:cs="Arial"/>
                <w:color w:val="auto"/>
              </w:rPr>
              <w:t>700 5</w:t>
            </w:r>
            <w:r w:rsidRPr="000C6A22">
              <w:rPr>
                <w:rFonts w:ascii="Cambria" w:hAnsi="Cambria" w:cs="Arial"/>
                <w:color w:val="auto"/>
                <w:vertAlign w:val="superscript"/>
              </w:rPr>
              <w:t>th</w:t>
            </w:r>
            <w:r>
              <w:rPr>
                <w:rFonts w:ascii="Cambria" w:hAnsi="Cambria" w:cs="Arial"/>
                <w:color w:val="auto"/>
              </w:rPr>
              <w:t xml:space="preserve"> Ave. </w:t>
            </w:r>
          </w:p>
          <w:p w14:paraId="7EE4B016" w14:textId="77777777" w:rsidR="000C6A22" w:rsidRDefault="000C6A22" w:rsidP="000C6A22">
            <w:pPr>
              <w:spacing w:after="0" w:line="240" w:lineRule="auto"/>
              <w:ind w:left="230"/>
              <w:jc w:val="center"/>
              <w:rPr>
                <w:rFonts w:ascii="Cambria" w:hAnsi="Cambria" w:cs="Arial"/>
                <w:color w:val="auto"/>
              </w:rPr>
            </w:pPr>
            <w:r>
              <w:rPr>
                <w:rFonts w:ascii="Cambria" w:hAnsi="Cambria" w:cs="Arial"/>
                <w:color w:val="auto"/>
              </w:rPr>
              <w:t>Seattle, WA 98124</w:t>
            </w:r>
          </w:p>
          <w:p w14:paraId="4E3DF3B8" w14:textId="6AD24220" w:rsidR="000C6A22" w:rsidRPr="00466A1C" w:rsidRDefault="000C6A22" w:rsidP="000C6A22">
            <w:pPr>
              <w:spacing w:after="0" w:line="240" w:lineRule="auto"/>
              <w:ind w:left="230"/>
              <w:jc w:val="center"/>
              <w:rPr>
                <w:rFonts w:ascii="Cambria" w:hAnsi="Cambria" w:cs="Arial"/>
                <w:color w:val="auto"/>
              </w:rPr>
            </w:pPr>
            <w:r>
              <w:rPr>
                <w:rFonts w:ascii="Cambria" w:hAnsi="Cambria" w:cs="Arial"/>
                <w:color w:val="auto"/>
              </w:rPr>
              <w:t>Room 4110</w:t>
            </w:r>
          </w:p>
        </w:tc>
        <w:tc>
          <w:tcPr>
            <w:tcW w:w="3150" w:type="dxa"/>
          </w:tcPr>
          <w:p w14:paraId="6317A452" w14:textId="77777777" w:rsidR="00D90B66" w:rsidRDefault="000C6A22" w:rsidP="000C6A22">
            <w:pPr>
              <w:spacing w:after="0" w:line="240" w:lineRule="auto"/>
              <w:ind w:left="130"/>
              <w:jc w:val="center"/>
              <w:rPr>
                <w:rFonts w:ascii="Cambria" w:hAnsi="Cambria" w:cs="Arial"/>
                <w:color w:val="auto"/>
              </w:rPr>
            </w:pPr>
            <w:r>
              <w:rPr>
                <w:rFonts w:ascii="Cambria" w:hAnsi="Cambria" w:cs="Arial"/>
                <w:color w:val="auto"/>
              </w:rPr>
              <w:t xml:space="preserve">February 21, 2019 10 </w:t>
            </w:r>
            <w:proofErr w:type="gramStart"/>
            <w:r>
              <w:rPr>
                <w:rFonts w:ascii="Cambria" w:hAnsi="Cambria" w:cs="Arial"/>
                <w:color w:val="auto"/>
              </w:rPr>
              <w:t>AM  PT</w:t>
            </w:r>
            <w:proofErr w:type="gramEnd"/>
          </w:p>
          <w:p w14:paraId="4E65C425" w14:textId="77777777" w:rsidR="000C6A22" w:rsidRDefault="000C6A22" w:rsidP="000C6A22">
            <w:pPr>
              <w:spacing w:after="0" w:line="240" w:lineRule="auto"/>
              <w:ind w:left="130"/>
              <w:jc w:val="center"/>
              <w:rPr>
                <w:rFonts w:ascii="Cambria" w:hAnsi="Cambria" w:cs="Arial"/>
                <w:color w:val="auto"/>
              </w:rPr>
            </w:pPr>
            <w:r>
              <w:rPr>
                <w:rFonts w:ascii="Cambria" w:hAnsi="Cambria" w:cs="Arial"/>
                <w:color w:val="auto"/>
              </w:rPr>
              <w:t>Skype: 206-386-1200</w:t>
            </w:r>
          </w:p>
          <w:p w14:paraId="70AD0CCD" w14:textId="77777777" w:rsidR="000C6A22" w:rsidRDefault="000C6A22" w:rsidP="000C6A22">
            <w:pPr>
              <w:spacing w:after="0" w:line="240" w:lineRule="auto"/>
              <w:ind w:left="130"/>
              <w:jc w:val="center"/>
              <w:rPr>
                <w:rFonts w:ascii="Cambria" w:hAnsi="Cambria" w:cs="Arial"/>
                <w:color w:val="auto"/>
              </w:rPr>
            </w:pPr>
            <w:r>
              <w:rPr>
                <w:rFonts w:ascii="Cambria" w:hAnsi="Cambria" w:cs="Arial"/>
                <w:color w:val="auto"/>
              </w:rPr>
              <w:t>844-386-1200</w:t>
            </w:r>
          </w:p>
          <w:p w14:paraId="39BBBF39" w14:textId="3315F70C" w:rsidR="000C6A22" w:rsidRPr="00466A1C" w:rsidRDefault="000C6A22" w:rsidP="000C6A22">
            <w:pPr>
              <w:spacing w:after="0" w:line="240" w:lineRule="auto"/>
              <w:ind w:left="130"/>
              <w:jc w:val="center"/>
              <w:rPr>
                <w:rFonts w:ascii="Cambria" w:hAnsi="Cambria" w:cs="Arial"/>
                <w:color w:val="auto"/>
              </w:rPr>
            </w:pPr>
            <w:r>
              <w:rPr>
                <w:rFonts w:ascii="Cambria" w:hAnsi="Cambria" w:cs="Arial"/>
                <w:color w:val="auto"/>
              </w:rPr>
              <w:t>Conference ID: 9293340</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4701DBBF" w:rsidR="00D90B66" w:rsidRPr="00466A1C" w:rsidRDefault="000C6A22" w:rsidP="00B10021">
            <w:pPr>
              <w:ind w:left="123"/>
              <w:jc w:val="center"/>
              <w:rPr>
                <w:rFonts w:ascii="Cambria" w:hAnsi="Cambria" w:cs="Arial"/>
                <w:color w:val="auto"/>
              </w:rPr>
            </w:pPr>
            <w:r>
              <w:rPr>
                <w:rFonts w:ascii="Cambria" w:hAnsi="Cambria" w:cs="Arial"/>
                <w:color w:val="auto"/>
              </w:rPr>
              <w:t xml:space="preserve">February 28, 2019 3 </w:t>
            </w:r>
            <w:proofErr w:type="gramStart"/>
            <w:r>
              <w:rPr>
                <w:rFonts w:ascii="Cambria" w:hAnsi="Cambria" w:cs="Arial"/>
                <w:color w:val="auto"/>
              </w:rPr>
              <w:t>PM  PT</w:t>
            </w:r>
            <w:proofErr w:type="gramEnd"/>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1F3C027A" w:rsidR="00D90B66" w:rsidRPr="00466A1C" w:rsidRDefault="000C6A22" w:rsidP="007E04A4">
            <w:pPr>
              <w:ind w:left="123"/>
              <w:jc w:val="center"/>
              <w:rPr>
                <w:rFonts w:ascii="Cambria" w:hAnsi="Cambria" w:cs="Arial"/>
                <w:color w:val="auto"/>
              </w:rPr>
            </w:pPr>
            <w:r>
              <w:rPr>
                <w:rFonts w:ascii="Cambria" w:hAnsi="Cambria" w:cs="Arial"/>
                <w:color w:val="auto"/>
              </w:rPr>
              <w:t xml:space="preserve">March 7, 2019 2 </w:t>
            </w:r>
            <w:proofErr w:type="gramStart"/>
            <w:r>
              <w:rPr>
                <w:rFonts w:ascii="Cambria" w:hAnsi="Cambria" w:cs="Arial"/>
                <w:color w:val="auto"/>
              </w:rPr>
              <w:t>PM  PT</w:t>
            </w:r>
            <w:proofErr w:type="gramEnd"/>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6951DD58" w14:textId="14B6E234" w:rsidR="00AA198F" w:rsidRPr="00AA198F" w:rsidRDefault="00AA198F" w:rsidP="00AA198F">
      <w:pPr>
        <w:pStyle w:val="BodyText"/>
        <w:ind w:left="360"/>
        <w:rPr>
          <w:rFonts w:ascii="Cambria" w:hAnsi="Cambria"/>
          <w:color w:val="auto"/>
        </w:rPr>
      </w:pPr>
      <w:r w:rsidRPr="00AA198F">
        <w:rPr>
          <w:rFonts w:ascii="Cambria" w:hAnsi="Cambria"/>
          <w:color w:val="auto"/>
        </w:rPr>
        <w:t xml:space="preserve">This solicitation seeks transformers to support the Seattle City Light hydro-power electrical system.  Seattle City Light is currently using a 26kV system and has been since approximately 1960.  Seattle’s high fault current is much more likely to cause an eventful failure than a typical lower voltage system.  A failure on the 26kV distribution can be dangerous to City Light workers and to the public. City Light has adapted periodic test and review transformer safety, reliability, stock levels, safety stock and economics for this commodity.  </w:t>
      </w:r>
    </w:p>
    <w:p w14:paraId="04A56C96" w14:textId="77777777" w:rsidR="00AA198F" w:rsidRPr="00AA198F" w:rsidRDefault="00AA198F" w:rsidP="00AA198F">
      <w:pPr>
        <w:pStyle w:val="BodyText"/>
        <w:ind w:left="360"/>
        <w:rPr>
          <w:rFonts w:ascii="Cambria" w:hAnsi="Cambria"/>
          <w:color w:val="auto"/>
        </w:rPr>
      </w:pPr>
      <w:r w:rsidRPr="00AA198F">
        <w:rPr>
          <w:rFonts w:ascii="Cambria" w:hAnsi="Cambria"/>
          <w:color w:val="auto"/>
        </w:rPr>
        <w:t xml:space="preserve">Seattle City Light works extensively to provide and guarantee reliable service to City Light electrical power customers, providing electrical power service without interruption or power quality problems. Any electrical outage, whether experienced by Seattle City Light or otherwise, is expensive and inconvenient to the public.  Transformers are an essential part of the reliability of the system. A failed transformer unit affectively doubles the testing, installation, material handling, material cost and adds an additional salvage cost to the already surmounting cost to the City.  </w:t>
      </w:r>
    </w:p>
    <w:p w14:paraId="59437462" w14:textId="2A0EEFB5" w:rsidR="00AA198F" w:rsidRPr="00AA198F" w:rsidRDefault="00AA198F" w:rsidP="00AA198F">
      <w:pPr>
        <w:pStyle w:val="BodyText"/>
        <w:ind w:left="360"/>
        <w:rPr>
          <w:rFonts w:ascii="Cambria" w:hAnsi="Cambria"/>
          <w:color w:val="auto"/>
        </w:rPr>
      </w:pPr>
      <w:r w:rsidRPr="00AA198F">
        <w:rPr>
          <w:rFonts w:ascii="Cambria" w:hAnsi="Cambria"/>
          <w:color w:val="auto"/>
        </w:rPr>
        <w:t xml:space="preserve">The City therefore has a series of specifications that have been carefully established to ensure the highest possible performance for the City.  The City requires Bidders to propose and provide products that are compliant to Seattle City Material Standards specifications and that pass mandatory testing inspection conducted by SCL.  The City standards also establish certain maintenance schedules and practices and loading practices in order to achieve the best function from transformers and lengthen the time before the end of transformer life. </w:t>
      </w:r>
    </w:p>
    <w:p w14:paraId="2C707AE4" w14:textId="77777777" w:rsidR="00A2338B" w:rsidRPr="00466A1C" w:rsidRDefault="00A2338B" w:rsidP="00A2338B">
      <w:pPr>
        <w:pStyle w:val="NoSpacing"/>
        <w:ind w:left="360"/>
        <w:rPr>
          <w:rFonts w:ascii="Cambria" w:hAnsi="Cambria"/>
          <w:color w:val="auto"/>
        </w:rPr>
      </w:pPr>
      <w:bookmarkStart w:id="2" w:name="_Toc224981830"/>
      <w:r w:rsidRPr="00466A1C">
        <w:rPr>
          <w:rFonts w:ascii="Cambria" w:hAnsi="Cambria"/>
          <w:color w:val="auto"/>
        </w:rPr>
        <w:t xml:space="preserve">Pool Contracts:  The City intends to award a pool of eligible, qualified and competitive contracts for these products and/or services.  The City may place orders with any of the resultant contract vendors, selecting the vendor the City wishes to use in any manner that the City department placing the order chooses.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r w:rsidRPr="00466A1C">
        <w:rPr>
          <w:b/>
          <w:color w:val="1F497D"/>
        </w:rPr>
        <w:t>SOLICITATION OBJECTIVES</w:t>
      </w:r>
      <w:bookmarkEnd w:id="2"/>
    </w:p>
    <w:p w14:paraId="63B1AFE9" w14:textId="2F441541"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54B02E79" w14:textId="77777777" w:rsidR="00AA198F" w:rsidRPr="00AA198F" w:rsidRDefault="00AA198F" w:rsidP="00AA198F">
      <w:pPr>
        <w:numPr>
          <w:ilvl w:val="0"/>
          <w:numId w:val="16"/>
        </w:numPr>
        <w:spacing w:after="0" w:line="240" w:lineRule="auto"/>
        <w:rPr>
          <w:rFonts w:ascii="Cambria" w:hAnsi="Cambria"/>
          <w:color w:val="auto"/>
        </w:rPr>
      </w:pPr>
      <w:r w:rsidRPr="00AA198F">
        <w:rPr>
          <w:rFonts w:ascii="Cambria" w:hAnsi="Cambria"/>
          <w:color w:val="auto"/>
        </w:rPr>
        <w:t>Contract with an established Vendor that has a strong record and experience, so the City is assured to get dependable units while delivering products in a timely and expedient manner as required by Seattle City Light Material Standards and pass testing evaluation in accordance with standardized rules of ANSI/IEEE and RCW 19.29.010.</w:t>
      </w:r>
    </w:p>
    <w:p w14:paraId="05F3A942" w14:textId="77777777" w:rsidR="00AA198F" w:rsidRPr="00AA198F" w:rsidRDefault="00AA198F" w:rsidP="00AA198F">
      <w:pPr>
        <w:numPr>
          <w:ilvl w:val="0"/>
          <w:numId w:val="16"/>
        </w:numPr>
        <w:spacing w:after="0" w:line="240" w:lineRule="auto"/>
        <w:rPr>
          <w:rFonts w:ascii="Cambria" w:hAnsi="Cambria"/>
          <w:color w:val="auto"/>
        </w:rPr>
      </w:pPr>
      <w:r w:rsidRPr="00AA198F">
        <w:rPr>
          <w:rFonts w:ascii="Cambria" w:hAnsi="Cambria"/>
          <w:color w:val="auto"/>
        </w:rPr>
        <w:t>Contract that achieves lowest best possible, competitive pricing and consistent fair price escalation proposal plan throughout the Contract term.</w:t>
      </w:r>
    </w:p>
    <w:p w14:paraId="6FB0FF86" w14:textId="77777777" w:rsidR="00AA198F" w:rsidRPr="00AA198F" w:rsidRDefault="00AA198F" w:rsidP="00AA198F">
      <w:pPr>
        <w:numPr>
          <w:ilvl w:val="0"/>
          <w:numId w:val="16"/>
        </w:numPr>
        <w:spacing w:after="0" w:line="240" w:lineRule="auto"/>
        <w:rPr>
          <w:rFonts w:ascii="Cambria" w:hAnsi="Cambria"/>
          <w:color w:val="auto"/>
        </w:rPr>
      </w:pPr>
      <w:r w:rsidRPr="00AA198F">
        <w:rPr>
          <w:rFonts w:ascii="Cambria" w:hAnsi="Cambria"/>
          <w:color w:val="auto"/>
        </w:rPr>
        <w:t>Contract where Vendor can provide products during an emergency or disaster, with round-the clock ordering during an emergency and give City of Seattle priority during a disaster.</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1AC52503" w14:textId="5DCDC80C"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3A805671" w14:textId="77777777" w:rsidR="00AA198F" w:rsidRPr="00466A1C" w:rsidRDefault="00AA198F" w:rsidP="006A5039">
      <w:pPr>
        <w:pStyle w:val="NoSpacing"/>
        <w:ind w:left="360"/>
        <w:rPr>
          <w:rFonts w:ascii="Cambria" w:hAnsi="Cambria"/>
          <w:color w:val="auto"/>
        </w:rPr>
      </w:pPr>
    </w:p>
    <w:p w14:paraId="797C9394" w14:textId="16A56261" w:rsidR="00DC54E1" w:rsidRDefault="00DC54E1" w:rsidP="00A2338B">
      <w:pPr>
        <w:pStyle w:val="NoSpacing"/>
        <w:numPr>
          <w:ilvl w:val="0"/>
          <w:numId w:val="17"/>
        </w:numPr>
        <w:ind w:left="153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79C19E4" w14:textId="7A9A10E6" w:rsidR="00AA198F" w:rsidRDefault="00AA198F" w:rsidP="006A5039">
      <w:pPr>
        <w:pStyle w:val="NoSpacing"/>
        <w:ind w:left="360"/>
        <w:rPr>
          <w:rFonts w:ascii="Cambria" w:hAnsi="Cambria"/>
          <w:color w:val="auto"/>
        </w:rPr>
      </w:pPr>
    </w:p>
    <w:p w14:paraId="038735EE" w14:textId="321B0C06" w:rsidR="00AA198F" w:rsidRDefault="00AA198F" w:rsidP="006A5039">
      <w:pPr>
        <w:pStyle w:val="NoSpacing"/>
        <w:ind w:left="360"/>
        <w:rPr>
          <w:rFonts w:ascii="Cambria" w:hAnsi="Cambria"/>
          <w:color w:val="auto"/>
        </w:rPr>
      </w:pPr>
    </w:p>
    <w:p w14:paraId="52A90876" w14:textId="77777777" w:rsidR="00AA198F" w:rsidRPr="00466A1C" w:rsidRDefault="00AA198F" w:rsidP="006A5039">
      <w:pPr>
        <w:pStyle w:val="NoSpacing"/>
        <w:ind w:left="360"/>
        <w:rPr>
          <w:rFonts w:ascii="Cambria" w:hAnsi="Cambria"/>
          <w:color w:val="auto"/>
        </w:rPr>
      </w:pP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lastRenderedPageBreak/>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6"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6"/>
    </w:p>
    <w:p w14:paraId="2D366B84" w14:textId="77777777" w:rsidR="00A2338B" w:rsidRDefault="00A2338B" w:rsidP="00A2338B">
      <w:pPr>
        <w:pStyle w:val="BodyText"/>
        <w:ind w:left="360"/>
        <w:rPr>
          <w:rFonts w:ascii="Cambria" w:hAnsi="Cambria"/>
          <w:color w:val="auto"/>
        </w:rPr>
      </w:pPr>
      <w:r w:rsidRPr="006B4485">
        <w:rPr>
          <w:rFonts w:ascii="Cambria" w:hAnsi="Cambria"/>
          <w:color w:val="auto"/>
        </w:rPr>
        <w:t>The City specifications that have been carefully established to ensure the highest possible performance for the City.  The City requires Bidders to provide products that are compliant to Seattle City</w:t>
      </w:r>
      <w:r>
        <w:rPr>
          <w:rFonts w:ascii="Cambria" w:hAnsi="Cambria"/>
          <w:color w:val="auto"/>
        </w:rPr>
        <w:t xml:space="preserve"> Light</w:t>
      </w:r>
      <w:r w:rsidRPr="006B4485">
        <w:rPr>
          <w:rFonts w:ascii="Cambria" w:hAnsi="Cambria"/>
          <w:color w:val="auto"/>
        </w:rPr>
        <w:t xml:space="preserve"> Material Standards specifications and that pass mandatory testing inspection conducted by SCL.  The City standards also establish certain maintenance schedules and practices and loading practices in order to achieve the best function from transformers and lengthen the time before the end of transformer life. </w:t>
      </w:r>
    </w:p>
    <w:p w14:paraId="1D8DB30A" w14:textId="77777777" w:rsidR="00BC6ABF" w:rsidRDefault="00BC6ABF" w:rsidP="00BC6ABF">
      <w:pPr>
        <w:pStyle w:val="NoSpacing"/>
        <w:ind w:left="0" w:firstLine="360"/>
        <w:rPr>
          <w:rFonts w:ascii="Cambria" w:hAnsi="Cambria"/>
          <w:color w:val="auto"/>
        </w:rPr>
      </w:pPr>
      <w:r>
        <w:rPr>
          <w:rFonts w:ascii="Cambria" w:hAnsi="Cambria"/>
          <w:color w:val="auto"/>
        </w:rPr>
        <w:t xml:space="preserve">Here is the link to query SCL Material Standards: </w:t>
      </w:r>
      <w:hyperlink r:id="rId16" w:history="1">
        <w:r w:rsidRPr="004D3034">
          <w:rPr>
            <w:rStyle w:val="Hyperlink"/>
            <w:rFonts w:ascii="Cambria" w:hAnsi="Cambria"/>
          </w:rPr>
          <w:t>http://www.seattle.gov/light/engineerstd/</w:t>
        </w:r>
      </w:hyperlink>
      <w:r>
        <w:rPr>
          <w:rFonts w:ascii="Cambria" w:hAnsi="Cambria"/>
          <w:color w:val="auto"/>
        </w:rPr>
        <w:t xml:space="preserve"> </w:t>
      </w:r>
    </w:p>
    <w:p w14:paraId="601A407A" w14:textId="163A8620" w:rsidR="00BC6ABF" w:rsidRDefault="00BC6ABF" w:rsidP="00BC6ABF">
      <w:pPr>
        <w:pStyle w:val="NoSpacing"/>
        <w:ind w:left="0" w:firstLine="360"/>
        <w:rPr>
          <w:rFonts w:ascii="Cambria" w:hAnsi="Cambria"/>
          <w:color w:val="auto"/>
        </w:rPr>
      </w:pPr>
      <w:r>
        <w:rPr>
          <w:rFonts w:ascii="Cambria" w:hAnsi="Cambria"/>
          <w:color w:val="auto"/>
        </w:rPr>
        <w:t xml:space="preserve">We have embedded SCL Material Standard 4320.00 for your convenience: </w:t>
      </w:r>
    </w:p>
    <w:p w14:paraId="5093C8C8" w14:textId="10FA7926" w:rsidR="00A2338B" w:rsidRDefault="00D13DEA" w:rsidP="006A5039">
      <w:pPr>
        <w:pStyle w:val="NoSpacing"/>
        <w:ind w:left="360"/>
        <w:rPr>
          <w:rFonts w:ascii="Cambria" w:hAnsi="Cambria"/>
          <w:b/>
          <w:color w:val="auto"/>
        </w:rPr>
      </w:pPr>
      <w:r>
        <w:rPr>
          <w:rFonts w:ascii="Cambria" w:hAnsi="Cambria"/>
          <w:b/>
          <w:color w:val="auto"/>
        </w:rPr>
        <w:object w:dxaOrig="1531" w:dyaOrig="990" w14:anchorId="29486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7" o:title=""/>
          </v:shape>
          <o:OLEObject Type="Embed" ProgID="AcroExch.Document.DC" ShapeID="_x0000_i1025" DrawAspect="Icon" ObjectID="_1611574144" r:id="rId18"/>
        </w:object>
      </w:r>
    </w:p>
    <w:p w14:paraId="383D1A98" w14:textId="77777777" w:rsidR="00DF175C" w:rsidRDefault="00DF175C" w:rsidP="00A2338B">
      <w:pPr>
        <w:pStyle w:val="NoSpacing"/>
        <w:ind w:left="360"/>
        <w:rPr>
          <w:rFonts w:ascii="Cambria" w:hAnsi="Cambria"/>
          <w:color w:val="auto"/>
        </w:rPr>
      </w:pPr>
    </w:p>
    <w:p w14:paraId="6B803DEB" w14:textId="5172B2AB" w:rsidR="00A2338B" w:rsidRDefault="00A2338B" w:rsidP="00A2338B">
      <w:pPr>
        <w:pStyle w:val="NoSpacing"/>
        <w:ind w:left="360"/>
        <w:rPr>
          <w:rFonts w:ascii="Cambria" w:hAnsi="Cambria"/>
          <w:color w:val="auto"/>
        </w:rPr>
      </w:pPr>
      <w:r>
        <w:rPr>
          <w:rFonts w:ascii="Cambria" w:hAnsi="Cambria"/>
          <w:color w:val="auto"/>
        </w:rPr>
        <w:t xml:space="preserve">Also, we have included the </w:t>
      </w:r>
      <w:r w:rsidR="00EC6987">
        <w:rPr>
          <w:rFonts w:ascii="Cambria" w:hAnsi="Cambria"/>
          <w:color w:val="auto"/>
        </w:rPr>
        <w:t>average</w:t>
      </w:r>
      <w:r>
        <w:rPr>
          <w:rFonts w:ascii="Cambria" w:hAnsi="Cambria"/>
          <w:color w:val="auto"/>
        </w:rPr>
        <w:t xml:space="preserve"> usage for</w:t>
      </w:r>
      <w:r w:rsidR="00EC6987">
        <w:rPr>
          <w:rFonts w:ascii="Cambria" w:hAnsi="Cambria"/>
          <w:color w:val="auto"/>
        </w:rPr>
        <w:t xml:space="preserve"> the last three (3) years for</w:t>
      </w:r>
      <w:r>
        <w:rPr>
          <w:rFonts w:ascii="Cambria" w:hAnsi="Cambria"/>
          <w:color w:val="auto"/>
        </w:rPr>
        <w:t xml:space="preserve"> these items. </w:t>
      </w:r>
    </w:p>
    <w:p w14:paraId="06D1C675" w14:textId="41A47960" w:rsidR="00A2338B" w:rsidRDefault="00EC6987" w:rsidP="006A5039">
      <w:pPr>
        <w:pStyle w:val="NoSpacing"/>
        <w:ind w:left="360"/>
        <w:rPr>
          <w:rFonts w:ascii="Cambria" w:hAnsi="Cambria"/>
          <w:b/>
          <w:color w:val="auto"/>
        </w:rPr>
      </w:pPr>
      <w:r>
        <w:rPr>
          <w:rFonts w:ascii="Cambria" w:hAnsi="Cambria"/>
          <w:b/>
          <w:color w:val="auto"/>
        </w:rPr>
        <w:tab/>
      </w:r>
      <w:bookmarkStart w:id="7" w:name="_MON_1610540181"/>
      <w:bookmarkEnd w:id="7"/>
      <w:r w:rsidR="00D13DEA">
        <w:rPr>
          <w:rFonts w:ascii="Cambria" w:hAnsi="Cambria"/>
          <w:b/>
          <w:color w:val="auto"/>
        </w:rPr>
        <w:object w:dxaOrig="1531" w:dyaOrig="990" w14:anchorId="1B690216">
          <v:shape id="_x0000_i1026" type="#_x0000_t75" style="width:76.2pt;height:49.8pt" o:ole="">
            <v:imagedata r:id="rId19" o:title=""/>
          </v:shape>
          <o:OLEObject Type="Embed" ProgID="Excel.Sheet.8" ShapeID="_x0000_i1026" DrawAspect="Icon" ObjectID="_1611574145" r:id="rId20"/>
        </w:object>
      </w:r>
    </w:p>
    <w:p w14:paraId="674DC2C8" w14:textId="77777777" w:rsidR="00A2338B" w:rsidRDefault="00A2338B" w:rsidP="006A5039">
      <w:pPr>
        <w:pStyle w:val="NoSpacing"/>
        <w:ind w:left="360"/>
        <w:rPr>
          <w:rFonts w:ascii="Cambria" w:hAnsi="Cambria"/>
          <w:b/>
          <w:color w:val="auto"/>
        </w:rPr>
      </w:pPr>
    </w:p>
    <w:p w14:paraId="2FBA17AF" w14:textId="38B733DF"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112B6A8F" w14:textId="77777777" w:rsidR="00241807" w:rsidRPr="00466A1C" w:rsidRDefault="00241807" w:rsidP="006A5039">
      <w:pPr>
        <w:pStyle w:val="NoSpacing"/>
        <w:ind w:left="720"/>
        <w:rPr>
          <w:rFonts w:ascii="Cambria" w:hAnsi="Cambria"/>
          <w:color w:val="auto"/>
        </w:rPr>
      </w:pPr>
    </w:p>
    <w:p w14:paraId="7386208A" w14:textId="692EC2CC"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notice to not </w:t>
      </w:r>
      <w:r w:rsidR="00D11DAE" w:rsidRPr="00466A1C">
        <w:rPr>
          <w:rFonts w:ascii="Cambria" w:hAnsi="Cambria"/>
          <w:color w:val="auto"/>
        </w:rPr>
        <w:t>extend but</w:t>
      </w:r>
      <w:r w:rsidRPr="00466A1C">
        <w:rPr>
          <w:rFonts w:ascii="Cambria" w:hAnsi="Cambria"/>
          <w:color w:val="auto"/>
        </w:rPr>
        <w:t xml:space="preserve"> must provide </w:t>
      </w:r>
      <w:r w:rsidR="00C60896">
        <w:rPr>
          <w:rFonts w:ascii="Cambria" w:hAnsi="Cambria"/>
          <w:color w:val="auto"/>
        </w:rPr>
        <w:t xml:space="preserve">written </w:t>
      </w:r>
      <w:r w:rsidRPr="00466A1C">
        <w:rPr>
          <w:rFonts w:ascii="Cambria" w:hAnsi="Cambria"/>
          <w:color w:val="auto"/>
        </w:rPr>
        <w:t>notice at least 45 days prior to the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8"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 xml:space="preserve">by </w:t>
      </w:r>
      <w:r w:rsidRPr="00466A1C">
        <w:rPr>
          <w:rFonts w:ascii="Cambria" w:hAnsi="Cambria"/>
          <w:color w:val="auto"/>
        </w:rPr>
        <w:lastRenderedPageBreak/>
        <w:t>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07A870AA"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00A2338B">
        <w:rPr>
          <w:rFonts w:ascii="Cambria" w:hAnsi="Cambria" w:cs="Arial"/>
          <w:color w:val="auto"/>
        </w:rPr>
        <w:t xml:space="preserve"> 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9" w:name="_Toc224981834"/>
      <w:bookmarkEnd w:id="8"/>
      <w:r w:rsidRPr="00466A1C">
        <w:rPr>
          <w:rFonts w:ascii="Cambria" w:hAnsi="Cambria"/>
          <w:b/>
          <w:i/>
          <w:color w:val="auto"/>
        </w:rPr>
        <w:t>S</w:t>
      </w:r>
      <w:r w:rsidR="00241807" w:rsidRPr="00466A1C">
        <w:rPr>
          <w:rFonts w:ascii="Cambria" w:hAnsi="Cambria"/>
          <w:b/>
          <w:i/>
          <w:color w:val="auto"/>
        </w:rPr>
        <w:t>chedule, Orders, Delivery</w:t>
      </w:r>
      <w:bookmarkEnd w:id="9"/>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3D3868" w:rsidRPr="00466A1C">
        <w:rPr>
          <w:rFonts w:ascii="Cambria" w:hAnsi="Cambria"/>
          <w:color w:val="auto"/>
        </w:rPr>
        <w:t>Vendor</w:t>
      </w:r>
      <w:r w:rsidRPr="00466A1C">
        <w:rPr>
          <w:rFonts w:ascii="Cambria" w:hAnsi="Cambria"/>
          <w:color w:val="auto"/>
        </w:rPr>
        <w:t xml:space="preserve"> location within the same-day of placing the order.</w:t>
      </w: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0" w:name="_Toc224981836"/>
      <w:r w:rsidRPr="00466A1C">
        <w:rPr>
          <w:rFonts w:ascii="Cambria" w:hAnsi="Cambria"/>
          <w:b/>
          <w:i/>
          <w:color w:val="auto"/>
        </w:rPr>
        <w:t>Environmental Specifications</w:t>
      </w:r>
      <w:bookmarkEnd w:id="10"/>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1"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lastRenderedPageBreak/>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2"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3"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1" w:name="_MON_1259129277"/>
    <w:bookmarkStart w:id="12" w:name="_MON_1261206942"/>
    <w:bookmarkEnd w:id="11"/>
    <w:bookmarkEnd w:id="12"/>
    <w:bookmarkStart w:id="13" w:name="_MON_1275824472"/>
    <w:bookmarkEnd w:id="13"/>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7" type="#_x0000_t75" style="width:77.4pt;height:50.4pt" o:ole="">
            <v:imagedata r:id="rId24" o:title=""/>
          </v:shape>
          <o:OLEObject Type="Embed" ProgID="Word.Document.8" ShapeID="_x0000_i1027" DrawAspect="Icon" ObjectID="_1611574146" r:id="rId25">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72DAD314" w14:textId="77777777" w:rsidR="00D86272" w:rsidRPr="00466A1C" w:rsidRDefault="00D86272" w:rsidP="00D86272">
      <w:pPr>
        <w:pStyle w:val="NoSpacing"/>
        <w:ind w:left="360"/>
        <w:rPr>
          <w:rFonts w:ascii="Cambria" w:hAnsi="Cambria"/>
          <w:color w:val="auto"/>
        </w:rPr>
      </w:pPr>
      <w:r w:rsidRPr="00466A1C">
        <w:rPr>
          <w:rFonts w:ascii="Cambria" w:hAnsi="Cambria"/>
          <w:b/>
          <w:color w:val="auto"/>
        </w:rPr>
        <w:t xml:space="preserve">Independent Contractor: </w:t>
      </w:r>
      <w:r w:rsidRPr="00466A1C">
        <w:rPr>
          <w:rFonts w:ascii="Cambria" w:hAnsi="Cambria"/>
          <w:color w:val="auto"/>
        </w:rPr>
        <w:t xml:space="preserve">The City provides contract and project management, managing deliverables, schedules, tasks, and contract performance.  This is distinguished from an employer-employee.  This contract prohibits vendors from supervising and/or being supervised by a City employee.  Supervision includes a City Employee Performance Evaluations, preparing and/or approving City timesheets, administering discipline, and similar actions.  Contract workers shall not be given City office space unless provided for below, and for no more than 36 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3241A115" w14:textId="77777777" w:rsidR="001D1349" w:rsidRPr="00D11DAE" w:rsidRDefault="001D1349" w:rsidP="001D1349">
      <w:pPr>
        <w:pStyle w:val="NoSpacing"/>
        <w:ind w:left="360"/>
        <w:rPr>
          <w:rFonts w:ascii="Cambria" w:hAnsi="Cambria"/>
          <w:b/>
          <w:color w:val="auto"/>
        </w:rPr>
      </w:pPr>
      <w:bookmarkStart w:id="14" w:name="_Toc224981841"/>
      <w:r w:rsidRPr="00D11DAE">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6"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5" w:name="_Toc521141110"/>
      <w:bookmarkStart w:id="16" w:name="_Toc524484953"/>
      <w:bookmarkStart w:id="17" w:name="_Toc524754140"/>
      <w:bookmarkStart w:id="18" w:name="_Toc526492385"/>
      <w:bookmarkStart w:id="19" w:name="_Toc528557440"/>
      <w:bookmarkStart w:id="20" w:name="_Toc529153500"/>
      <w:bookmarkStart w:id="21" w:name="_Toc30899400"/>
      <w:bookmarkStart w:id="22" w:name="_Toc224981842"/>
      <w:bookmarkEnd w:id="14"/>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5"/>
      <w:bookmarkEnd w:id="16"/>
      <w:bookmarkEnd w:id="17"/>
      <w:r w:rsidR="005C23DC" w:rsidRPr="00466A1C">
        <w:rPr>
          <w:rFonts w:ascii="Cambria" w:hAnsi="Cambria" w:cs="Arial"/>
          <w:b/>
          <w:color w:val="1F497D"/>
          <w:sz w:val="32"/>
          <w:szCs w:val="32"/>
        </w:rPr>
        <w:t>&amp; INFORMATION</w:t>
      </w:r>
      <w:bookmarkEnd w:id="18"/>
      <w:bookmarkEnd w:id="19"/>
      <w:bookmarkEnd w:id="20"/>
      <w:bookmarkEnd w:id="21"/>
      <w:bookmarkEnd w:id="22"/>
    </w:p>
    <w:p w14:paraId="0DCFD277" w14:textId="77777777" w:rsidR="00835D28" w:rsidRDefault="00835D28" w:rsidP="009C7135">
      <w:pPr>
        <w:pStyle w:val="NoSpacing"/>
        <w:ind w:left="360"/>
        <w:rPr>
          <w:rFonts w:ascii="Cambria" w:hAnsi="Cambria"/>
          <w:color w:val="auto"/>
        </w:rPr>
      </w:pPr>
      <w:bookmarkStart w:id="23" w:name="_Toc521141112"/>
      <w:bookmarkStart w:id="24" w:name="_Ref524406138"/>
      <w:bookmarkStart w:id="25" w:name="_Toc524484955"/>
      <w:bookmarkStart w:id="26" w:name="_Toc524754142"/>
      <w:bookmarkStart w:id="27" w:name="_Toc526492387"/>
      <w:bookmarkStart w:id="28" w:name="_Toc528557442"/>
      <w:bookmarkStart w:id="29" w:name="_Toc529153502"/>
      <w:bookmarkStart w:id="30"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3"/>
      <w:bookmarkEnd w:id="24"/>
      <w:bookmarkEnd w:id="25"/>
      <w:bookmarkEnd w:id="26"/>
      <w:bookmarkEnd w:id="27"/>
      <w:bookmarkEnd w:id="28"/>
      <w:bookmarkEnd w:id="29"/>
      <w:bookmarkEnd w:id="30"/>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5E160FD4" w14:textId="35DE7BA5" w:rsidR="00EC6987"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02E211CC" w:rsidR="00E66F8E" w:rsidRPr="00D11DAE" w:rsidRDefault="00D11DAE" w:rsidP="006A395F">
      <w:pPr>
        <w:pStyle w:val="NoSpacing"/>
        <w:ind w:left="360"/>
        <w:rPr>
          <w:rFonts w:ascii="Cambria" w:hAnsi="Cambria"/>
          <w:b/>
          <w:color w:val="auto"/>
        </w:rPr>
      </w:pPr>
      <w:r>
        <w:rPr>
          <w:rFonts w:ascii="Cambria" w:hAnsi="Cambria"/>
          <w:b/>
          <w:color w:val="auto"/>
        </w:rPr>
        <w:t>David McLean</w:t>
      </w:r>
    </w:p>
    <w:p w14:paraId="52144917" w14:textId="1A5C3B38" w:rsidR="00E66F8E" w:rsidRPr="00D11DAE" w:rsidRDefault="00D11DAE" w:rsidP="006A395F">
      <w:pPr>
        <w:pStyle w:val="NoSpacing"/>
        <w:ind w:left="360"/>
        <w:rPr>
          <w:rFonts w:ascii="Cambria" w:hAnsi="Cambria"/>
          <w:b/>
          <w:color w:val="auto"/>
        </w:rPr>
      </w:pPr>
      <w:r>
        <w:rPr>
          <w:rFonts w:ascii="Cambria" w:hAnsi="Cambria"/>
          <w:b/>
          <w:color w:val="auto"/>
        </w:rPr>
        <w:t>206-684-0445</w:t>
      </w:r>
    </w:p>
    <w:p w14:paraId="6F44DDC8" w14:textId="7E197D74" w:rsidR="008D7020" w:rsidRPr="00466A1C" w:rsidRDefault="00EE721E" w:rsidP="006A395F">
      <w:pPr>
        <w:pStyle w:val="NoSpacing"/>
        <w:ind w:left="360"/>
        <w:rPr>
          <w:rFonts w:ascii="Cambria" w:hAnsi="Cambria"/>
          <w:color w:val="auto"/>
        </w:rPr>
      </w:pPr>
      <w:hyperlink r:id="rId27" w:history="1">
        <w:r w:rsidR="00D11DAE" w:rsidRPr="007E6661">
          <w:rPr>
            <w:rStyle w:val="Hyperlink"/>
            <w:rFonts w:ascii="Cambria" w:hAnsi="Cambria"/>
          </w:rPr>
          <w:t>David.mclean@seattle.gov</w:t>
        </w:r>
      </w:hyperlink>
      <w:r w:rsidR="00D11DAE">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87108AA" w:rsidR="00232C1D" w:rsidRPr="00466A1C" w:rsidRDefault="00E66F8E" w:rsidP="009C7135">
      <w:pPr>
        <w:spacing w:after="0" w:line="240" w:lineRule="auto"/>
        <w:ind w:left="360"/>
        <w:jc w:val="both"/>
        <w:rPr>
          <w:rFonts w:ascii="Cambria" w:hAnsi="Cambria"/>
          <w:color w:val="auto"/>
        </w:rPr>
      </w:pPr>
      <w:bookmarkStart w:id="31" w:name="_Toc521141113"/>
      <w:bookmarkStart w:id="32" w:name="_Toc524484956"/>
      <w:bookmarkStart w:id="33" w:name="_Toc524754143"/>
      <w:bookmarkStart w:id="34" w:name="_Ref525440530"/>
      <w:bookmarkStart w:id="35" w:name="_Ref525440556"/>
      <w:bookmarkStart w:id="36" w:name="_Toc526492388"/>
      <w:bookmarkStart w:id="37" w:name="_Toc528557443"/>
      <w:bookmarkStart w:id="38" w:name="_Toc529153503"/>
      <w:bookmarkStart w:id="39" w:name="_Toc30899403"/>
      <w:bookmarkStart w:id="40" w:name="_Toc521141118"/>
      <w:bookmarkStart w:id="41" w:name="_Toc524484960"/>
      <w:bookmarkStart w:id="42" w:name="_Toc524754147"/>
      <w:bookmarkStart w:id="43" w:name="_Toc526492392"/>
      <w:bookmarkStart w:id="44" w:name="_Toc528557447"/>
      <w:bookmarkStart w:id="45" w:name="_Toc529153507"/>
      <w:bookmarkStart w:id="46" w:name="_Toc30899405"/>
      <w:r w:rsidRPr="00466A1C">
        <w:rPr>
          <w:rFonts w:ascii="Cambria" w:hAnsi="Cambria" w:cs="Arial"/>
          <w:b/>
          <w:color w:val="auto"/>
        </w:rPr>
        <w:t>Pre-Bid Conference</w:t>
      </w:r>
      <w:bookmarkEnd w:id="31"/>
      <w:bookmarkEnd w:id="32"/>
      <w:bookmarkEnd w:id="33"/>
      <w:bookmarkEnd w:id="34"/>
      <w:bookmarkEnd w:id="35"/>
      <w:bookmarkEnd w:id="36"/>
      <w:bookmarkEnd w:id="37"/>
      <w:bookmarkEnd w:id="38"/>
      <w:bookmarkEnd w:id="39"/>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w:t>
      </w:r>
      <w:r w:rsidR="00D11DAE">
        <w:rPr>
          <w:rFonts w:ascii="Cambria" w:hAnsi="Cambria"/>
          <w:color w:val="auto"/>
        </w:rPr>
        <w:t xml:space="preserve">the Skype information on Page 1. </w:t>
      </w:r>
      <w:r w:rsidR="00232C1D" w:rsidRPr="00466A1C">
        <w:rPr>
          <w:rFonts w:ascii="Cambria" w:hAnsi="Cambria"/>
          <w:color w:val="auto"/>
        </w:rPr>
        <w:t xml:space="preserv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0"/>
      <w:bookmarkEnd w:id="41"/>
      <w:bookmarkEnd w:id="42"/>
      <w:bookmarkEnd w:id="43"/>
      <w:bookmarkEnd w:id="44"/>
      <w:bookmarkEnd w:id="45"/>
      <w:bookmarkEnd w:id="46"/>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8"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7" w:name="_Toc524484961"/>
      <w:bookmarkStart w:id="48" w:name="_Toc524754148"/>
      <w:bookmarkStart w:id="49" w:name="_Ref525440624"/>
      <w:bookmarkStart w:id="50" w:name="_Ref525440637"/>
      <w:bookmarkStart w:id="51" w:name="_Toc526492393"/>
      <w:bookmarkStart w:id="52" w:name="_Toc528557448"/>
      <w:bookmarkStart w:id="53" w:name="_Toc529153508"/>
      <w:bookmarkStart w:id="54"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6C03EDAE" w14:textId="77777777" w:rsidR="00E636B7" w:rsidRDefault="00E636B7" w:rsidP="005A4A7A">
      <w:pPr>
        <w:pStyle w:val="Heading2"/>
        <w:numPr>
          <w:ilvl w:val="1"/>
          <w:numId w:val="0"/>
        </w:numPr>
        <w:tabs>
          <w:tab w:val="left" w:pos="-1440"/>
          <w:tab w:val="left" w:pos="576"/>
          <w:tab w:val="left" w:pos="1080"/>
        </w:tabs>
        <w:ind w:left="576" w:hanging="216"/>
        <w:jc w:val="both"/>
        <w:rPr>
          <w:b/>
          <w:color w:val="auto"/>
          <w:sz w:val="24"/>
          <w:szCs w:val="24"/>
        </w:rPr>
      </w:pPr>
    </w:p>
    <w:p w14:paraId="4F6416AF" w14:textId="4721854E"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303ABADF" w:rsidR="001C1419"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D11DAE">
        <w:rPr>
          <w:rFonts w:ascii="Cambria" w:hAnsi="Cambria"/>
          <w:color w:val="auto"/>
        </w:rPr>
        <w:t xml:space="preserve"> </w:t>
      </w:r>
      <w:r w:rsidR="001C1419" w:rsidRPr="00466A1C">
        <w:rPr>
          <w:rFonts w:ascii="Cambria" w:hAnsi="Cambria"/>
          <w:color w:val="auto"/>
        </w:rPr>
        <w:t xml:space="preserve">copy of the response must be received no later than the date and time specified on the procurement schedule or as otherwise amended.  </w:t>
      </w:r>
    </w:p>
    <w:p w14:paraId="581FD4FA" w14:textId="744F6472" w:rsidR="008116F5" w:rsidRDefault="008116F5" w:rsidP="009C7135">
      <w:pPr>
        <w:spacing w:after="0" w:line="240" w:lineRule="auto"/>
        <w:ind w:left="360"/>
        <w:rPr>
          <w:rFonts w:ascii="Cambria" w:hAnsi="Cambria"/>
          <w:color w:val="auto"/>
        </w:rPr>
      </w:pPr>
    </w:p>
    <w:p w14:paraId="24CD6C2A" w14:textId="77777777" w:rsidR="008116F5" w:rsidRPr="00466A1C" w:rsidRDefault="008116F5" w:rsidP="009C7135">
      <w:pPr>
        <w:spacing w:after="0" w:line="240" w:lineRule="auto"/>
        <w:ind w:left="360"/>
        <w:rPr>
          <w:rFonts w:ascii="Cambria" w:hAnsi="Cambria"/>
          <w:color w:val="auto"/>
        </w:rPr>
      </w:pP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336CA4F1"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4E7B5B1C" w14:textId="55EDCBB6" w:rsidR="00D11DAE" w:rsidRDefault="00D11DAE" w:rsidP="00D11DAE">
            <w:pPr>
              <w:pStyle w:val="NoSpacing"/>
              <w:ind w:hanging="1442"/>
              <w:rPr>
                <w:rFonts w:ascii="Cambria" w:hAnsi="Cambria" w:cs="Arial"/>
                <w:b/>
                <w:color w:val="auto"/>
              </w:rPr>
            </w:pPr>
            <w:r>
              <w:rPr>
                <w:rFonts w:ascii="Cambria" w:hAnsi="Cambria" w:cs="Arial"/>
                <w:b/>
                <w:color w:val="auto"/>
              </w:rPr>
              <w:t>ITB# SCL-</w:t>
            </w:r>
            <w:r w:rsidR="003376B3">
              <w:rPr>
                <w:rFonts w:ascii="Cambria" w:hAnsi="Cambria" w:cs="Arial"/>
                <w:b/>
                <w:color w:val="auto"/>
              </w:rPr>
              <w:t>4736</w:t>
            </w:r>
          </w:p>
          <w:p w14:paraId="4D394BBA" w14:textId="50EDACFD" w:rsidR="00D11DAE" w:rsidRPr="00D11DAE" w:rsidRDefault="00D11DAE" w:rsidP="00D11DAE">
            <w:pPr>
              <w:pStyle w:val="NoSpacing"/>
              <w:ind w:hanging="1442"/>
              <w:rPr>
                <w:rFonts w:ascii="Cambria" w:hAnsi="Cambria" w:cs="Arial"/>
                <w:b/>
                <w:color w:val="auto"/>
              </w:rPr>
            </w:pPr>
            <w:r>
              <w:rPr>
                <w:rFonts w:ascii="Cambria" w:hAnsi="Cambria" w:cs="Arial"/>
                <w:b/>
                <w:color w:val="auto"/>
              </w:rPr>
              <w:t>David McLean</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5E6C002B"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5F570365" w14:textId="7673D271" w:rsidR="00D11DAE" w:rsidRDefault="00D11DAE" w:rsidP="00395B14">
            <w:pPr>
              <w:pStyle w:val="NoSpacing"/>
              <w:ind w:left="971" w:hanging="450"/>
              <w:rPr>
                <w:rFonts w:ascii="Cambria" w:hAnsi="Cambria" w:cs="Arial"/>
                <w:b/>
                <w:color w:val="auto"/>
              </w:rPr>
            </w:pPr>
            <w:r>
              <w:rPr>
                <w:rFonts w:ascii="Cambria" w:hAnsi="Cambria" w:cs="Arial"/>
                <w:b/>
                <w:color w:val="auto"/>
              </w:rPr>
              <w:t>ITB# SCL-</w:t>
            </w:r>
            <w:r w:rsidR="003376B3">
              <w:rPr>
                <w:rFonts w:ascii="Cambria" w:hAnsi="Cambria" w:cs="Arial"/>
                <w:b/>
                <w:color w:val="auto"/>
              </w:rPr>
              <w:t>4736</w:t>
            </w:r>
          </w:p>
          <w:p w14:paraId="1AB658CE" w14:textId="0843EA6C" w:rsidR="00D11DAE" w:rsidRPr="00D11DAE" w:rsidRDefault="00D11DAE" w:rsidP="00395B14">
            <w:pPr>
              <w:pStyle w:val="NoSpacing"/>
              <w:ind w:left="971" w:hanging="450"/>
              <w:rPr>
                <w:rFonts w:ascii="Cambria" w:hAnsi="Cambria" w:cs="Arial"/>
                <w:b/>
                <w:color w:val="auto"/>
              </w:rPr>
            </w:pPr>
            <w:r>
              <w:rPr>
                <w:rFonts w:ascii="Cambria" w:hAnsi="Cambria" w:cs="Arial"/>
                <w:b/>
                <w:color w:val="auto"/>
              </w:rPr>
              <w:t>David McLean</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9"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7"/>
      <w:bookmarkEnd w:id="48"/>
      <w:bookmarkEnd w:id="49"/>
      <w:bookmarkEnd w:id="50"/>
      <w:bookmarkEnd w:id="51"/>
      <w:bookmarkEnd w:id="52"/>
      <w:bookmarkEnd w:id="53"/>
      <w:bookmarkEnd w:id="54"/>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5" w:name="_Toc524484966"/>
      <w:bookmarkStart w:id="56" w:name="_Toc524754153"/>
      <w:bookmarkStart w:id="57" w:name="_Toc526492398"/>
      <w:bookmarkStart w:id="58" w:name="_Toc528557453"/>
      <w:bookmarkStart w:id="59" w:name="_Toc529153513"/>
      <w:bookmarkStart w:id="60"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lastRenderedPageBreak/>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2BA6925"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D11DAE"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55FF0856"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D11DAE"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1" w:name="_Toc524484968"/>
      <w:bookmarkStart w:id="62" w:name="_Toc524754155"/>
      <w:bookmarkStart w:id="63" w:name="_Toc526492400"/>
      <w:bookmarkStart w:id="64" w:name="_Toc528557455"/>
      <w:bookmarkStart w:id="65" w:name="_Toc529153515"/>
      <w:bookmarkStart w:id="66"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1"/>
    <w:bookmarkEnd w:id="62"/>
    <w:bookmarkEnd w:id="63"/>
    <w:bookmarkEnd w:id="64"/>
    <w:bookmarkEnd w:id="65"/>
    <w:bookmarkEnd w:id="66"/>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0EA7E542" w:rsidR="00ED435C" w:rsidRPr="00466A1C" w:rsidRDefault="00ED435C" w:rsidP="006A395F">
      <w:pPr>
        <w:pStyle w:val="NoSpacing"/>
        <w:ind w:left="360"/>
        <w:rPr>
          <w:rFonts w:ascii="Cambria" w:hAnsi="Cambria"/>
          <w:color w:val="auto"/>
        </w:rPr>
      </w:pPr>
      <w:bookmarkStart w:id="67" w:name="_Toc521141129"/>
      <w:bookmarkStart w:id="68" w:name="_Toc524484976"/>
      <w:bookmarkStart w:id="69" w:name="_Toc524754163"/>
      <w:bookmarkStart w:id="70" w:name="_Toc526492405"/>
      <w:bookmarkStart w:id="71" w:name="_Toc528557460"/>
      <w:bookmarkStart w:id="72" w:name="_Toc529153520"/>
      <w:bookmarkStart w:id="73"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r w:rsidR="00D11DAE" w:rsidRPr="00466A1C">
        <w:rPr>
          <w:rFonts w:ascii="Cambria" w:hAnsi="Cambria"/>
          <w:color w:val="auto"/>
          <w:spacing w:val="-3"/>
        </w:rPr>
        <w:t>thoroughly and</w:t>
      </w:r>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6DA24149"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D11DAE"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D11DAE" w:rsidRPr="00466A1C">
        <w:rPr>
          <w:rFonts w:ascii="Cambria" w:hAnsi="Cambria"/>
          <w:color w:val="auto"/>
        </w:rPr>
        <w:t>However,</w:t>
      </w:r>
      <w:r w:rsidR="009771DC" w:rsidRPr="00466A1C">
        <w:rPr>
          <w:rFonts w:ascii="Cambria" w:hAnsi="Cambria"/>
          <w:color w:val="auto"/>
        </w:rPr>
        <w:t xml:space="preserve"> this does not limit the right of the city to consider additional </w:t>
      </w:r>
      <w:r w:rsidR="009771DC" w:rsidRPr="00466A1C">
        <w:rPr>
          <w:rFonts w:ascii="Cambria" w:hAnsi="Cambria"/>
          <w:color w:val="auto"/>
        </w:rPr>
        <w:lastRenderedPageBreak/>
        <w:t>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04AF91D9"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or Approved Equal</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7"/>
      <w:bookmarkEnd w:id="68"/>
      <w:bookmarkEnd w:id="69"/>
      <w:bookmarkEnd w:id="70"/>
      <w:bookmarkEnd w:id="71"/>
      <w:bookmarkEnd w:id="72"/>
      <w:bookmarkEnd w:id="73"/>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4" w:name="_Toc521141130"/>
      <w:bookmarkStart w:id="75" w:name="_Toc524484977"/>
      <w:bookmarkStart w:id="76" w:name="_Toc524754164"/>
      <w:bookmarkStart w:id="77" w:name="_Toc526492406"/>
      <w:bookmarkStart w:id="78" w:name="_Toc528557461"/>
      <w:bookmarkStart w:id="79" w:name="_Toc529153521"/>
      <w:bookmarkStart w:id="80" w:name="_Toc30899419"/>
      <w:r w:rsidRPr="00466A1C">
        <w:rPr>
          <w:rFonts w:ascii="Cambria" w:hAnsi="Cambria"/>
          <w:b/>
          <w:color w:val="auto"/>
        </w:rPr>
        <w:t>Withdrawal of Bid</w:t>
      </w:r>
      <w:bookmarkEnd w:id="74"/>
      <w:bookmarkEnd w:id="75"/>
      <w:bookmarkEnd w:id="76"/>
      <w:bookmarkEnd w:id="77"/>
      <w:bookmarkEnd w:id="78"/>
      <w:bookmarkEnd w:id="79"/>
      <w:bookmarkEnd w:id="80"/>
      <w:r w:rsidR="009C7135" w:rsidRPr="00466A1C">
        <w:rPr>
          <w:rFonts w:ascii="Cambria" w:hAnsi="Cambria"/>
          <w:b/>
          <w:color w:val="auto"/>
        </w:rPr>
        <w:t xml:space="preserve">: </w:t>
      </w:r>
      <w:bookmarkStart w:id="81" w:name="_Toc521141131"/>
      <w:bookmarkStart w:id="82" w:name="_Toc524484978"/>
      <w:bookmarkStart w:id="83" w:name="_Toc524754165"/>
      <w:bookmarkStart w:id="84" w:name="_Toc526492407"/>
      <w:bookmarkStart w:id="85" w:name="_Toc528557462"/>
      <w:bookmarkStart w:id="86" w:name="_Toc529153522"/>
      <w:bookmarkStart w:id="87"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1"/>
      <w:bookmarkEnd w:id="82"/>
      <w:bookmarkEnd w:id="83"/>
      <w:bookmarkEnd w:id="84"/>
      <w:bookmarkEnd w:id="85"/>
      <w:bookmarkEnd w:id="86"/>
      <w:bookmarkEnd w:id="87"/>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8" w:name="_Toc521141132"/>
      <w:bookmarkStart w:id="89" w:name="_Toc524484979"/>
      <w:bookmarkStart w:id="90" w:name="_Toc524754166"/>
      <w:bookmarkStart w:id="91" w:name="_Toc526492408"/>
      <w:bookmarkStart w:id="92" w:name="_Toc528557463"/>
      <w:bookmarkStart w:id="93" w:name="_Toc529153523"/>
      <w:bookmarkStart w:id="94" w:name="_Toc30899421"/>
    </w:p>
    <w:p w14:paraId="202517E8" w14:textId="77777777" w:rsidR="00ED435C" w:rsidRPr="00466A1C" w:rsidRDefault="00ED435C" w:rsidP="006A395F">
      <w:pPr>
        <w:pStyle w:val="NoSpacing"/>
        <w:ind w:left="360"/>
        <w:rPr>
          <w:rFonts w:ascii="Cambria" w:hAnsi="Cambria"/>
          <w:color w:val="auto"/>
        </w:rPr>
      </w:pPr>
      <w:bookmarkStart w:id="95" w:name="_Toc521141134"/>
      <w:bookmarkStart w:id="96" w:name="_Toc524484981"/>
      <w:bookmarkStart w:id="97" w:name="_Toc524754168"/>
      <w:bookmarkStart w:id="98" w:name="_Toc526492410"/>
      <w:bookmarkStart w:id="99" w:name="_Toc528557465"/>
      <w:bookmarkStart w:id="100" w:name="_Toc529153525"/>
      <w:bookmarkStart w:id="101" w:name="_Toc30899423"/>
      <w:bookmarkEnd w:id="88"/>
      <w:bookmarkEnd w:id="89"/>
      <w:bookmarkEnd w:id="90"/>
      <w:bookmarkEnd w:id="91"/>
      <w:bookmarkEnd w:id="92"/>
      <w:bookmarkEnd w:id="93"/>
      <w:bookmarkEnd w:id="94"/>
      <w:r w:rsidRPr="00466A1C">
        <w:rPr>
          <w:rFonts w:ascii="Cambria" w:hAnsi="Cambria"/>
          <w:b/>
          <w:color w:val="auto"/>
        </w:rPr>
        <w:t>Bid Disposition</w:t>
      </w:r>
      <w:bookmarkEnd w:id="95"/>
      <w:bookmarkEnd w:id="96"/>
      <w:bookmarkEnd w:id="97"/>
      <w:bookmarkEnd w:id="98"/>
      <w:bookmarkEnd w:id="99"/>
      <w:bookmarkEnd w:id="100"/>
      <w:bookmarkEnd w:id="101"/>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5"/>
      <w:bookmarkEnd w:id="56"/>
      <w:bookmarkEnd w:id="57"/>
      <w:bookmarkEnd w:id="58"/>
      <w:bookmarkEnd w:id="59"/>
      <w:bookmarkEnd w:id="60"/>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2" w:name="_Toc521141127"/>
      <w:bookmarkStart w:id="103" w:name="_Toc524484974"/>
      <w:bookmarkStart w:id="104" w:name="_Toc524754161"/>
      <w:bookmarkStart w:id="105" w:name="_Toc526492403"/>
      <w:bookmarkStart w:id="106" w:name="_Toc528557458"/>
      <w:bookmarkStart w:id="107" w:name="_Toc529153518"/>
      <w:bookmarkStart w:id="108"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lastRenderedPageBreak/>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0"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proofErr w:type="gramStart"/>
      <w:r w:rsidRPr="00045BDC">
        <w:rPr>
          <w:rFonts w:ascii="Cambria" w:hAnsi="Cambria"/>
          <w:color w:val="auto"/>
        </w:rPr>
        <w:t>apply</w:t>
      </w:r>
      <w:r w:rsidR="008E57EE">
        <w:rPr>
          <w:rFonts w:ascii="Cambria" w:hAnsi="Cambria"/>
          <w:color w:val="auto"/>
        </w:rPr>
        <w:t>, and</w:t>
      </w:r>
      <w:proofErr w:type="gramEnd"/>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5E7ADCEA" w:rsid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w:t>
      </w:r>
      <w:r w:rsidRPr="008E57EE">
        <w:rPr>
          <w:rFonts w:ascii="Cambria" w:hAnsi="Cambria" w:cs="Arial"/>
          <w:color w:val="auto"/>
        </w:rPr>
        <w:lastRenderedPageBreak/>
        <w:t xml:space="preserve">do wish to make a request for records, please </w:t>
      </w:r>
      <w:r w:rsidR="008E57EE" w:rsidRPr="008E57EE">
        <w:rPr>
          <w:rFonts w:ascii="Cambria" w:hAnsi="Cambria" w:cs="Arial"/>
          <w:color w:val="auto"/>
        </w:rPr>
        <w:t xml:space="preserve">make your request at the City of Seattle’s Public Records Request Center at </w:t>
      </w:r>
      <w:hyperlink r:id="rId31"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2"/>
    <w:bookmarkEnd w:id="103"/>
    <w:bookmarkEnd w:id="104"/>
    <w:bookmarkEnd w:id="105"/>
    <w:bookmarkEnd w:id="106"/>
    <w:bookmarkEnd w:id="107"/>
    <w:bookmarkEnd w:id="108"/>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2"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33"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9" w:name="_Toc224981844"/>
      <w:bookmarkStart w:id="110" w:name="_Toc521141123"/>
      <w:bookmarkStart w:id="111" w:name="_Toc524484970"/>
      <w:bookmarkStart w:id="112"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9"/>
    </w:p>
    <w:bookmarkEnd w:id="110"/>
    <w:bookmarkEnd w:id="111"/>
    <w:bookmarkEnd w:id="112"/>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4"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70457395" w14:textId="537CFDB2"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r w:rsidR="00D11DAE" w:rsidRPr="00466A1C">
        <w:rPr>
          <w:rFonts w:ascii="Cambria" w:hAnsi="Cambria"/>
          <w:color w:val="auto"/>
        </w:rPr>
        <w:t>alone, and</w:t>
      </w:r>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3583F15B"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3" w:name="_MON_1610542914"/>
      <w:bookmarkEnd w:id="113"/>
      <w:r w:rsidR="00D13DEA">
        <w:rPr>
          <w:rFonts w:ascii="Cambria" w:hAnsi="Cambria"/>
          <w:color w:val="auto"/>
        </w:rPr>
        <w:object w:dxaOrig="1531" w:dyaOrig="990" w14:anchorId="7648B123">
          <v:shape id="_x0000_i1028" type="#_x0000_t75" style="width:76.2pt;height:49.8pt" o:ole="">
            <v:imagedata r:id="rId35" o:title=""/>
          </v:shape>
          <o:OLEObject Type="Embed" ProgID="Word.Document.8" ShapeID="_x0000_i1028" DrawAspect="Icon" ObjectID="_1611574147" r:id="rId36">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4" w:name="_MON_1558446197"/>
    <w:bookmarkEnd w:id="114"/>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9" type="#_x0000_t75" style="width:75.6pt;height:49.2pt" o:ole="">
            <v:imagedata r:id="rId37" o:title=""/>
          </v:shape>
          <o:OLEObject Type="Embed" ProgID="Word.Document.12" ShapeID="_x0000_i1029" DrawAspect="Icon" ObjectID="_1611574148" r:id="rId38">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32877C28"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5" w:name="_MON_1611550988"/>
      <w:bookmarkEnd w:id="115"/>
      <w:r w:rsidR="00441CD7">
        <w:rPr>
          <w:rFonts w:ascii="Cambria" w:hAnsi="Cambria"/>
          <w:color w:val="auto"/>
        </w:rPr>
        <w:object w:dxaOrig="1531" w:dyaOrig="990" w14:anchorId="6DD2C5B3">
          <v:shape id="_x0000_i1030" type="#_x0000_t75" style="width:76.2pt;height:49.8pt" o:ole="">
            <v:imagedata r:id="rId39" o:title=""/>
          </v:shape>
          <o:OLEObject Type="Embed" ProgID="Excel.Sheet.8" ShapeID="_x0000_i1030" DrawAspect="Icon" ObjectID="_1611574149" r:id="rId40"/>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6"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6"/>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7" w:name="_Toc187027302"/>
            <w:r w:rsidRPr="00466A1C">
              <w:rPr>
                <w:rFonts w:ascii="Cambria" w:hAnsi="Cambria"/>
                <w:color w:val="auto"/>
              </w:rPr>
              <w:t>Cover Sheet</w:t>
            </w:r>
            <w:bookmarkEnd w:id="117"/>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8" w:name="_Toc524485070"/>
      <w:bookmarkStart w:id="119" w:name="_Toc524754256"/>
      <w:bookmarkStart w:id="120" w:name="_Toc526492445"/>
      <w:bookmarkStart w:id="121" w:name="_Toc528557501"/>
      <w:bookmarkStart w:id="122" w:name="_Toc529153561"/>
      <w:bookmarkStart w:id="123" w:name="_Toc30899498"/>
      <w:bookmarkStart w:id="124" w:name="_Toc224981850"/>
    </w:p>
    <w:p w14:paraId="5B9176B7" w14:textId="77777777" w:rsidR="00385BC1" w:rsidRDefault="00385BC1" w:rsidP="00395B14">
      <w:pPr>
        <w:pStyle w:val="NoSpacing"/>
        <w:ind w:left="720"/>
        <w:rPr>
          <w:rFonts w:ascii="Cambria" w:hAnsi="Cambria"/>
          <w:b/>
          <w:color w:val="1F497D"/>
          <w:sz w:val="32"/>
          <w:szCs w:val="32"/>
        </w:rPr>
      </w:pPr>
      <w:bookmarkStart w:id="125" w:name="_Toc327166111"/>
      <w:bookmarkStart w:id="126" w:name="_Toc327171010"/>
      <w:bookmarkStart w:id="127" w:name="_Toc327933397"/>
      <w:bookmarkStart w:id="128" w:name="_Toc330967667"/>
      <w:bookmarkStart w:id="129" w:name="_Toc331470955"/>
      <w:bookmarkStart w:id="130" w:name="_Toc331486875"/>
      <w:bookmarkStart w:id="131" w:name="_Toc331488290"/>
      <w:bookmarkStart w:id="132" w:name="_Toc331898932"/>
      <w:bookmarkStart w:id="133" w:name="_Toc331899111"/>
      <w:bookmarkStart w:id="134" w:name="_Toc331900259"/>
      <w:bookmarkStart w:id="135" w:name="_Toc331932386"/>
      <w:bookmarkStart w:id="136" w:name="_Toc332179011"/>
      <w:bookmarkStart w:id="137" w:name="_Toc332441008"/>
      <w:bookmarkStart w:id="138" w:name="_Toc332677932"/>
      <w:bookmarkStart w:id="139" w:name="_Toc332684250"/>
      <w:bookmarkStart w:id="140" w:name="_Toc332776348"/>
      <w:bookmarkStart w:id="141" w:name="_Toc333207794"/>
      <w:bookmarkStart w:id="142" w:name="_Toc520001245"/>
      <w:bookmarkEnd w:id="118"/>
      <w:bookmarkEnd w:id="119"/>
      <w:bookmarkEnd w:id="120"/>
      <w:bookmarkEnd w:id="121"/>
      <w:bookmarkEnd w:id="122"/>
      <w:bookmarkEnd w:id="123"/>
      <w:bookmarkEnd w:id="124"/>
    </w:p>
    <w:p w14:paraId="049065CA" w14:textId="45F82432" w:rsidR="00BF79B0" w:rsidRPr="00466A1C" w:rsidRDefault="00BF79B0" w:rsidP="00395B14">
      <w:pPr>
        <w:pStyle w:val="NoSpacing"/>
        <w:ind w:left="720"/>
        <w:rPr>
          <w:rFonts w:ascii="Cambria" w:hAnsi="Cambria"/>
          <w:b/>
          <w:color w:val="1F497D"/>
          <w:sz w:val="32"/>
          <w:szCs w:val="32"/>
        </w:rPr>
      </w:pPr>
      <w:r w:rsidRPr="00466A1C">
        <w:rPr>
          <w:rFonts w:ascii="Cambria" w:hAnsi="Cambria"/>
          <w:b/>
          <w:color w:val="1F497D"/>
          <w:sz w:val="32"/>
          <w:szCs w:val="32"/>
        </w:rPr>
        <w:t xml:space="preserve">8.  </w:t>
      </w:r>
      <w:bookmarkStart w:id="143" w:name="_Toc187046281"/>
      <w:r w:rsidRPr="00466A1C">
        <w:rPr>
          <w:rFonts w:ascii="Cambria" w:hAnsi="Cambria"/>
          <w:b/>
          <w:color w:val="1F497D"/>
          <w:sz w:val="32"/>
          <w:szCs w:val="32"/>
        </w:rPr>
        <w: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66A1C">
        <w:rPr>
          <w:rFonts w:ascii="Cambria" w:hAnsi="Cambria"/>
          <w:b/>
          <w:color w:val="1F497D"/>
          <w:sz w:val="32"/>
          <w:szCs w:val="32"/>
        </w:rPr>
        <w:t xml:space="preserve">VALUATION </w:t>
      </w:r>
      <w:bookmarkEnd w:id="143"/>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308962F7"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8D39B2" w:rsidRPr="00466A1C">
        <w:rPr>
          <w:rFonts w:ascii="Cambria" w:hAnsi="Cambria"/>
          <w:color w:val="auto"/>
        </w:rPr>
        <w:t>.</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lastRenderedPageBreak/>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1"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3D50D8FB"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1" type="#_x0000_t75" style="width:75.6pt;height:48pt" o:ole="">
            <v:imagedata r:id="rId42" o:title=""/>
          </v:shape>
          <o:OLEObject Type="Embed" ProgID="AcroExch.Document.DC" ShapeID="_x0000_i1031" DrawAspect="Icon" ObjectID="_1611574150" r:id="rId43"/>
        </w:object>
      </w:r>
    </w:p>
    <w:p w14:paraId="4AD33D06" w14:textId="77BB5FBF" w:rsidR="00385BC1" w:rsidRDefault="00385BC1" w:rsidP="00EC6987">
      <w:pPr>
        <w:pStyle w:val="NoSpacing"/>
        <w:ind w:left="0" w:firstLine="720"/>
        <w:rPr>
          <w:rFonts w:ascii="Cambria" w:hAnsi="Cambria" w:cs="Arial"/>
          <w:b/>
          <w:color w:val="auto"/>
          <w:u w:val="single"/>
        </w:rPr>
      </w:pPr>
    </w:p>
    <w:p w14:paraId="6A551014" w14:textId="5C56CC78" w:rsidR="008116F5" w:rsidRDefault="008116F5" w:rsidP="00EC6987">
      <w:pPr>
        <w:pStyle w:val="NoSpacing"/>
        <w:ind w:left="0" w:firstLine="720"/>
        <w:rPr>
          <w:rFonts w:ascii="Cambria" w:hAnsi="Cambria" w:cs="Arial"/>
          <w:b/>
          <w:color w:val="auto"/>
          <w:u w:val="single"/>
        </w:rPr>
      </w:pPr>
    </w:p>
    <w:p w14:paraId="08EF0571" w14:textId="54B07E77" w:rsidR="008116F5" w:rsidRDefault="008116F5" w:rsidP="00EC6987">
      <w:pPr>
        <w:pStyle w:val="NoSpacing"/>
        <w:ind w:left="0" w:firstLine="720"/>
        <w:rPr>
          <w:rFonts w:ascii="Cambria" w:hAnsi="Cambria" w:cs="Arial"/>
          <w:b/>
          <w:color w:val="auto"/>
          <w:u w:val="single"/>
        </w:rPr>
      </w:pPr>
    </w:p>
    <w:p w14:paraId="11F080D6" w14:textId="528B50E8" w:rsidR="008116F5" w:rsidRDefault="008116F5" w:rsidP="00EC6987">
      <w:pPr>
        <w:pStyle w:val="NoSpacing"/>
        <w:ind w:left="0" w:firstLine="720"/>
        <w:rPr>
          <w:rFonts w:ascii="Cambria" w:hAnsi="Cambria" w:cs="Arial"/>
          <w:b/>
          <w:color w:val="auto"/>
          <w:u w:val="single"/>
        </w:rPr>
      </w:pPr>
    </w:p>
    <w:p w14:paraId="45ABB2D7" w14:textId="66F8C4C9" w:rsidR="008116F5" w:rsidRDefault="008116F5" w:rsidP="00EC6987">
      <w:pPr>
        <w:pStyle w:val="NoSpacing"/>
        <w:ind w:left="0" w:firstLine="720"/>
        <w:rPr>
          <w:rFonts w:ascii="Cambria" w:hAnsi="Cambria" w:cs="Arial"/>
          <w:b/>
          <w:color w:val="auto"/>
          <w:u w:val="single"/>
        </w:rPr>
      </w:pPr>
    </w:p>
    <w:p w14:paraId="70A23553" w14:textId="19E496FC" w:rsidR="008116F5" w:rsidRDefault="008116F5" w:rsidP="00EC6987">
      <w:pPr>
        <w:pStyle w:val="NoSpacing"/>
        <w:ind w:left="0" w:firstLine="720"/>
        <w:rPr>
          <w:rFonts w:ascii="Cambria" w:hAnsi="Cambria" w:cs="Arial"/>
          <w:b/>
          <w:color w:val="auto"/>
          <w:u w:val="single"/>
        </w:rPr>
      </w:pPr>
    </w:p>
    <w:p w14:paraId="7180EF53" w14:textId="7A6A42AD" w:rsidR="008116F5" w:rsidRDefault="008116F5" w:rsidP="00EC6987">
      <w:pPr>
        <w:pStyle w:val="NoSpacing"/>
        <w:ind w:left="0" w:firstLine="720"/>
        <w:rPr>
          <w:rFonts w:ascii="Cambria" w:hAnsi="Cambria" w:cs="Arial"/>
          <w:b/>
          <w:color w:val="auto"/>
          <w:u w:val="single"/>
        </w:rPr>
      </w:pPr>
    </w:p>
    <w:p w14:paraId="598CED0B" w14:textId="77777777" w:rsidR="008116F5" w:rsidRDefault="008116F5" w:rsidP="00EC6987">
      <w:pPr>
        <w:pStyle w:val="NoSpacing"/>
        <w:ind w:left="0" w:firstLine="720"/>
        <w:rPr>
          <w:rFonts w:ascii="Cambria" w:hAnsi="Cambria" w:cs="Arial"/>
          <w:b/>
          <w:color w:val="auto"/>
          <w:u w:val="single"/>
        </w:rPr>
      </w:pPr>
    </w:p>
    <w:p w14:paraId="780E0780" w14:textId="7684418A" w:rsidR="00716672" w:rsidRPr="00466A1C" w:rsidRDefault="008C0D75" w:rsidP="00EC6987">
      <w:pPr>
        <w:pStyle w:val="NoSpacing"/>
        <w:ind w:left="0" w:firstLine="720"/>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EC6987">
      <w:pPr>
        <w:pStyle w:val="BodyText"/>
        <w:ind w:left="360" w:firstLine="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EC6987">
      <w:pPr>
        <w:pStyle w:val="NoSpacing"/>
        <w:ind w:left="1080" w:firstLine="360"/>
        <w:rPr>
          <w:rFonts w:ascii="Cambria" w:hAnsi="Cambria"/>
          <w:color w:val="auto"/>
        </w:rPr>
      </w:pPr>
      <w:bookmarkStart w:id="144" w:name="businesscase"/>
      <w:bookmarkStart w:id="145" w:name="taxpayeridandw9formappendix"/>
      <w:bookmarkStart w:id="146" w:name="_Toc224981851"/>
      <w:bookmarkEnd w:id="144"/>
      <w:bookmarkEnd w:id="145"/>
      <w:r w:rsidRPr="00466A1C">
        <w:rPr>
          <w:rFonts w:ascii="Cambria" w:hAnsi="Cambria"/>
          <w:color w:val="auto"/>
        </w:rPr>
        <w:t xml:space="preserve">Contract Terms and Conditions </w:t>
      </w:r>
      <w:bookmarkEnd w:id="146"/>
    </w:p>
    <w:p w14:paraId="5B978656" w14:textId="77777777" w:rsidR="00BF7153" w:rsidRPr="00466A1C" w:rsidRDefault="00841659" w:rsidP="00EC6987">
      <w:pPr>
        <w:pStyle w:val="NoSpacing"/>
        <w:ind w:left="1440"/>
        <w:rPr>
          <w:rFonts w:ascii="Cambria" w:hAnsi="Cambria"/>
          <w:color w:val="auto"/>
        </w:rPr>
      </w:pPr>
      <w:r w:rsidRPr="00466A1C">
        <w:rPr>
          <w:rFonts w:ascii="Cambria" w:hAnsi="Cambria"/>
          <w:color w:val="auto"/>
        </w:rPr>
        <w:t xml:space="preserve">       </w:t>
      </w:r>
      <w:bookmarkStart w:id="147" w:name="_MON_1554808616"/>
      <w:bookmarkEnd w:id="147"/>
      <w:r w:rsidR="00287B2E">
        <w:rPr>
          <w:rFonts w:ascii="Cambria" w:hAnsi="Cambria"/>
          <w:color w:val="auto"/>
        </w:rPr>
        <w:object w:dxaOrig="1531" w:dyaOrig="990" w14:anchorId="2371A9F2">
          <v:shape id="_x0000_i1032" type="#_x0000_t75" style="width:76.2pt;height:49.8pt" o:ole="">
            <v:imagedata r:id="rId44" o:title=""/>
          </v:shape>
          <o:OLEObject Type="Embed" ProgID="Word.Document.8" ShapeID="_x0000_i1032" DrawAspect="Icon" ObjectID="_1611574151" r:id="rId45">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5F929B78" w14:textId="21527D49" w:rsidR="0081542C" w:rsidRPr="00466A1C" w:rsidRDefault="00EC6987" w:rsidP="000B231B">
      <w:pPr>
        <w:pStyle w:val="NoSpacing"/>
        <w:ind w:left="360"/>
        <w:rPr>
          <w:rFonts w:ascii="Cambria" w:hAnsi="Cambria"/>
          <w:color w:val="auto"/>
        </w:rPr>
      </w:pPr>
      <w:r>
        <w:rPr>
          <w:rFonts w:ascii="Cambria" w:hAnsi="Cambria"/>
          <w:color w:val="auto"/>
        </w:rPr>
        <w:tab/>
      </w:r>
      <w:r w:rsidR="00E83487" w:rsidRPr="00466A1C">
        <w:rPr>
          <w:rFonts w:ascii="Cambria" w:hAnsi="Cambria"/>
          <w:color w:val="auto"/>
        </w:rPr>
        <w:tab/>
      </w:r>
      <w:r w:rsidR="00E83487" w:rsidRPr="00466A1C">
        <w:rPr>
          <w:rFonts w:ascii="Cambria" w:hAnsi="Cambria"/>
          <w:color w:val="auto"/>
        </w:rPr>
        <w:tab/>
      </w:r>
    </w:p>
    <w:p w14:paraId="6A98968B" w14:textId="0B4B617E" w:rsidR="00211EAF" w:rsidRPr="00466A1C" w:rsidRDefault="00211EAF" w:rsidP="00211EAF">
      <w:pPr>
        <w:pStyle w:val="NoSpacing"/>
        <w:ind w:left="1080" w:firstLine="360"/>
        <w:rPr>
          <w:rFonts w:ascii="Cambria" w:hAnsi="Cambria"/>
          <w:color w:val="auto"/>
        </w:rPr>
      </w:pPr>
      <w:r>
        <w:rPr>
          <w:rFonts w:ascii="Cambria" w:hAnsi="Cambria"/>
          <w:color w:val="auto"/>
        </w:rPr>
        <w:t>Insurance Requirements</w:t>
      </w:r>
      <w:r w:rsidRPr="00466A1C">
        <w:rPr>
          <w:rFonts w:ascii="Cambria" w:hAnsi="Cambria"/>
          <w:color w:val="auto"/>
        </w:rPr>
        <w:t xml:space="preserve"> </w:t>
      </w:r>
    </w:p>
    <w:p w14:paraId="7AD455B1" w14:textId="116742E4" w:rsidR="00211EAF" w:rsidRPr="00466A1C" w:rsidRDefault="00211EAF" w:rsidP="00211EAF">
      <w:pPr>
        <w:pStyle w:val="NoSpacing"/>
        <w:ind w:left="1440"/>
        <w:rPr>
          <w:rFonts w:ascii="Cambria" w:hAnsi="Cambria"/>
          <w:color w:val="auto"/>
        </w:rPr>
      </w:pPr>
      <w:r w:rsidRPr="00466A1C">
        <w:rPr>
          <w:rFonts w:ascii="Cambria" w:hAnsi="Cambria"/>
          <w:color w:val="auto"/>
        </w:rPr>
        <w:t xml:space="preserve">       </w:t>
      </w:r>
      <w:bookmarkStart w:id="148" w:name="_MON_1611553474"/>
      <w:bookmarkEnd w:id="148"/>
      <w:r>
        <w:rPr>
          <w:rFonts w:ascii="Cambria" w:hAnsi="Cambria"/>
          <w:color w:val="auto"/>
        </w:rPr>
        <w:object w:dxaOrig="1531" w:dyaOrig="990" w14:anchorId="417DD528">
          <v:shape id="_x0000_i1033" type="#_x0000_t75" style="width:76.2pt;height:49.8pt" o:ole="">
            <v:imagedata r:id="rId46" o:title=""/>
          </v:shape>
          <o:OLEObject Type="Embed" ProgID="Word.Document.8" ShapeID="_x0000_i1033" DrawAspect="Icon" ObjectID="_1611574152" r:id="rId47">
            <o:FieldCodes>\s</o:FieldCodes>
          </o:OLEObject>
        </w:object>
      </w:r>
    </w:p>
    <w:p w14:paraId="788D3DEA" w14:textId="77777777" w:rsidR="0058552C" w:rsidRPr="00466A1C" w:rsidRDefault="0058552C" w:rsidP="000B231B">
      <w:pPr>
        <w:pStyle w:val="NoSpacing"/>
        <w:ind w:left="360"/>
        <w:rPr>
          <w:rFonts w:ascii="Cambria" w:hAnsi="Cambria"/>
          <w:color w:val="auto"/>
        </w:rPr>
      </w:pPr>
    </w:p>
    <w:p w14:paraId="5D8D3736" w14:textId="2AE0A720" w:rsidR="00286E0A" w:rsidRPr="00466A1C" w:rsidRDefault="00286E0A" w:rsidP="00211EAF">
      <w:pPr>
        <w:pStyle w:val="Heading3"/>
        <w:ind w:left="0"/>
        <w:jc w:val="both"/>
        <w:rPr>
          <w:rFonts w:cs="Arial"/>
          <w:b/>
          <w:color w:val="auto"/>
          <w:sz w:val="20"/>
          <w:szCs w:val="20"/>
        </w:rPr>
      </w:pPr>
    </w:p>
    <w:sectPr w:rsidR="00286E0A" w:rsidRPr="00466A1C" w:rsidSect="009F01A3">
      <w:headerReference w:type="even" r:id="rId48"/>
      <w:headerReference w:type="default" r:id="rId49"/>
      <w:footerReference w:type="even" r:id="rId50"/>
      <w:footerReference w:type="default" r:id="rId51"/>
      <w:headerReference w:type="first" r:id="rId52"/>
      <w:footerReference w:type="first" r:id="rId53"/>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67E7" w14:textId="77777777" w:rsidR="00EE721E" w:rsidRDefault="00EE721E">
      <w:r>
        <w:separator/>
      </w:r>
    </w:p>
  </w:endnote>
  <w:endnote w:type="continuationSeparator" w:id="0">
    <w:p w14:paraId="1CCF83D7" w14:textId="77777777" w:rsidR="00EE721E" w:rsidRDefault="00EE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AA198F" w:rsidRDefault="00AA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AA198F" w:rsidRPr="00AF2104" w:rsidRDefault="00AA198F">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AA198F" w:rsidRPr="00AA1949" w:rsidRDefault="00AA198F"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AA198F" w:rsidRDefault="00AA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AD7F" w14:textId="77777777" w:rsidR="00EE721E" w:rsidRDefault="00EE721E">
      <w:r>
        <w:separator/>
      </w:r>
    </w:p>
  </w:footnote>
  <w:footnote w:type="continuationSeparator" w:id="0">
    <w:p w14:paraId="699E35A6" w14:textId="77777777" w:rsidR="00EE721E" w:rsidRDefault="00EE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AA198F" w:rsidRDefault="00AA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AA198F" w:rsidRDefault="00AA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AA198F" w:rsidRDefault="00AA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BB0205"/>
    <w:multiLevelType w:val="hybridMultilevel"/>
    <w:tmpl w:val="8126F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760FD"/>
    <w:multiLevelType w:val="hybridMultilevel"/>
    <w:tmpl w:val="2CDEA1C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4"/>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11"/>
  </w:num>
  <w:num w:numId="10">
    <w:abstractNumId w:val="14"/>
  </w:num>
  <w:num w:numId="11">
    <w:abstractNumId w:val="3"/>
  </w:num>
  <w:num w:numId="12">
    <w:abstractNumId w:val="6"/>
  </w:num>
  <w:num w:numId="13">
    <w:abstractNumId w:val="10"/>
  </w:num>
  <w:num w:numId="14">
    <w:abstractNumId w:val="5"/>
  </w:num>
  <w:num w:numId="15">
    <w:abstractNumId w:val="0"/>
  </w:num>
  <w:num w:numId="16">
    <w:abstractNumId w:val="15"/>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2865"/>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C6A22"/>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7F0"/>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1EAF"/>
    <w:rsid w:val="00215EF9"/>
    <w:rsid w:val="00217EA8"/>
    <w:rsid w:val="00217F4E"/>
    <w:rsid w:val="00220E58"/>
    <w:rsid w:val="00220EB4"/>
    <w:rsid w:val="002212BD"/>
    <w:rsid w:val="00222477"/>
    <w:rsid w:val="002229DB"/>
    <w:rsid w:val="002234D6"/>
    <w:rsid w:val="002248FC"/>
    <w:rsid w:val="00224C9A"/>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376B3"/>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5BC1"/>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6ABE"/>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1CD7"/>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5D48"/>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4AD"/>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6F5"/>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662"/>
    <w:rsid w:val="00857ABA"/>
    <w:rsid w:val="00862C29"/>
    <w:rsid w:val="00862C50"/>
    <w:rsid w:val="00862E65"/>
    <w:rsid w:val="0086485E"/>
    <w:rsid w:val="00865287"/>
    <w:rsid w:val="00865955"/>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543D"/>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0BA5"/>
    <w:rsid w:val="009D2EEF"/>
    <w:rsid w:val="009D4A9C"/>
    <w:rsid w:val="009D6878"/>
    <w:rsid w:val="009D6884"/>
    <w:rsid w:val="009D7FBF"/>
    <w:rsid w:val="009E0707"/>
    <w:rsid w:val="009E2B22"/>
    <w:rsid w:val="009E33EF"/>
    <w:rsid w:val="009E38DD"/>
    <w:rsid w:val="009E3CC3"/>
    <w:rsid w:val="009E3F2F"/>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338B"/>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8BD"/>
    <w:rsid w:val="00A93CAF"/>
    <w:rsid w:val="00A95A70"/>
    <w:rsid w:val="00A97390"/>
    <w:rsid w:val="00AA0961"/>
    <w:rsid w:val="00AA12DB"/>
    <w:rsid w:val="00AA1949"/>
    <w:rsid w:val="00AA198F"/>
    <w:rsid w:val="00AA4ADF"/>
    <w:rsid w:val="00AA5765"/>
    <w:rsid w:val="00AA5A33"/>
    <w:rsid w:val="00AA6F29"/>
    <w:rsid w:val="00AB0D50"/>
    <w:rsid w:val="00AB3D85"/>
    <w:rsid w:val="00AB3E96"/>
    <w:rsid w:val="00AB4D63"/>
    <w:rsid w:val="00AB5656"/>
    <w:rsid w:val="00AB568A"/>
    <w:rsid w:val="00AB5B29"/>
    <w:rsid w:val="00AB606B"/>
    <w:rsid w:val="00AB7520"/>
    <w:rsid w:val="00AB781B"/>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3906"/>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C6ABF"/>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896"/>
    <w:rsid w:val="00C60C86"/>
    <w:rsid w:val="00C6570A"/>
    <w:rsid w:val="00C65BB8"/>
    <w:rsid w:val="00C67751"/>
    <w:rsid w:val="00C677D6"/>
    <w:rsid w:val="00C6799F"/>
    <w:rsid w:val="00C67A45"/>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1DAE"/>
    <w:rsid w:val="00D12AAF"/>
    <w:rsid w:val="00D13D82"/>
    <w:rsid w:val="00D13DEA"/>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6272"/>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175C"/>
    <w:rsid w:val="00DF2068"/>
    <w:rsid w:val="00DF20BA"/>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36B7"/>
    <w:rsid w:val="00E6553F"/>
    <w:rsid w:val="00E66F8E"/>
    <w:rsid w:val="00E6794B"/>
    <w:rsid w:val="00E67B3E"/>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099A"/>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987"/>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21E"/>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D1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oleObject" Target="embeddings/oleObject1.bin"/><Relationship Id="rId26" Type="http://schemas.openxmlformats.org/officeDocument/2006/relationships/hyperlink" Target="http://www.seattle.gov/laborstandards" TargetMode="External"/><Relationship Id="rId39" Type="http://schemas.openxmlformats.org/officeDocument/2006/relationships/image" Target="media/image7.emf"/><Relationship Id="rId21" Type="http://schemas.openxmlformats.org/officeDocument/2006/relationships/hyperlink" Target="https://www.epa.gov/smm/comprehensive-procurement-guideline-cpg-program" TargetMode="External"/><Relationship Id="rId34" Type="http://schemas.openxmlformats.org/officeDocument/2006/relationships/hyperlink" Target="http://www.coordinatedlegal.com/SecretaryOfState.html" TargetMode="External"/><Relationship Id="rId42" Type="http://schemas.openxmlformats.org/officeDocument/2006/relationships/image" Target="media/image8.emf"/><Relationship Id="rId47" Type="http://schemas.openxmlformats.org/officeDocument/2006/relationships/oleObject" Target="embeddings/Microsoft_Word_97_-_2003_Document4.doc"/><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image" Target="media/image2.emf"/><Relationship Id="rId25" Type="http://schemas.openxmlformats.org/officeDocument/2006/relationships/oleObject" Target="embeddings/Microsoft_Word_97_-_2003_Document.doc"/><Relationship Id="rId33" Type="http://schemas.openxmlformats.org/officeDocument/2006/relationships/hyperlink" Target="mailto:polly.grow@seattle.gov" TargetMode="External"/><Relationship Id="rId38" Type="http://schemas.openxmlformats.org/officeDocument/2006/relationships/package" Target="embeddings/Microsoft_Word_Document.docx"/><Relationship Id="rId46"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http://www.seattle.gov/light/engineerstd/" TargetMode="External"/><Relationship Id="rId20" Type="http://schemas.openxmlformats.org/officeDocument/2006/relationships/oleObject" Target="embeddings/Microsoft_Excel_97-2003_Worksheet.xls"/><Relationship Id="rId29" Type="http://schemas.openxmlformats.org/officeDocument/2006/relationships/hyperlink" Target="mailto:securebid@seattle.gov" TargetMode="External"/><Relationship Id="rId41" Type="http://schemas.openxmlformats.org/officeDocument/2006/relationships/hyperlink" Target="http://www.seattle.gov/city-purchasing-and-contracting/solicitation-and-selection-protest-protocol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emf"/><Relationship Id="rId32" Type="http://schemas.openxmlformats.org/officeDocument/2006/relationships/hyperlink" Target="http://www.seattle.gov/ethics/etpub/et_home.htm" TargetMode="External"/><Relationship Id="rId37" Type="http://schemas.openxmlformats.org/officeDocument/2006/relationships/image" Target="media/image6.emf"/><Relationship Id="rId40" Type="http://schemas.openxmlformats.org/officeDocument/2006/relationships/oleObject" Target="embeddings/Microsoft_Excel_97-2003_Worksheet2.xls"/><Relationship Id="rId45" Type="http://schemas.openxmlformats.org/officeDocument/2006/relationships/oleObject" Target="embeddings/Microsoft_Word_97_-_2003_Document3.doc"/><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ecy.wa.gov/toxhaz.html" TargetMode="External"/><Relationship Id="rId28" Type="http://schemas.openxmlformats.org/officeDocument/2006/relationships/hyperlink" Target="http://www.seattle.gov/city-purchasing-and-contracting/city-purchasing" TargetMode="External"/><Relationship Id="rId36" Type="http://schemas.openxmlformats.org/officeDocument/2006/relationships/oleObject" Target="embeddings/Microsoft_Word_97_-_2003_Document1.doc"/><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seattle.gov/public-records/public-records-request-center" TargetMode="External"/><Relationship Id="rId44" Type="http://schemas.openxmlformats.org/officeDocument/2006/relationships/image" Target="media/image9.emf"/><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http://www.ecy.wa.gov/programs/hwtr/RTT/pbt/" TargetMode="External"/><Relationship Id="rId27" Type="http://schemas.openxmlformats.org/officeDocument/2006/relationships/hyperlink" Target="mailto:David.mclean@seattle.gov" TargetMode="External"/><Relationship Id="rId30" Type="http://schemas.openxmlformats.org/officeDocument/2006/relationships/hyperlink" Target="http://www1.leg.wa.gov/LawsAndAgencyRules" TargetMode="External"/><Relationship Id="rId35" Type="http://schemas.openxmlformats.org/officeDocument/2006/relationships/image" Target="media/image5.emf"/><Relationship Id="rId43" Type="http://schemas.openxmlformats.org/officeDocument/2006/relationships/oleObject" Target="embeddings/oleObject2.bin"/><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A3E4A-EF9D-44BF-9F61-66DE6D0D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7832</Words>
  <Characters>44644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52372</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2019-02-13T22:43:00Z</dcterms:created>
  <dcterms:modified xsi:type="dcterms:W3CDTF">2019-02-13T22:43:00Z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