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7DFBA" w14:textId="55B11034" w:rsidR="00A81D96" w:rsidRPr="00CA20C3" w:rsidRDefault="00BD7F32" w:rsidP="00A81D96">
      <w:pPr>
        <w:rPr>
          <w:rFonts w:ascii="Arial" w:hAnsi="Arial" w:cs="Arial"/>
          <w:sz w:val="20"/>
          <w:szCs w:val="20"/>
        </w:rPr>
      </w:pPr>
      <w:bookmarkStart w:id="0" w:name="_GoBack"/>
      <w:bookmarkEnd w:id="0"/>
      <w:r w:rsidRPr="00CA20C3">
        <w:rPr>
          <w:rFonts w:ascii="Arial" w:hAnsi="Arial" w:cs="Arial"/>
          <w:sz w:val="20"/>
          <w:szCs w:val="20"/>
        </w:rPr>
        <w:t xml:space="preserve">The following is additional information regarding Invitation to Bid </w:t>
      </w:r>
      <w:r w:rsidR="00094B91" w:rsidRPr="00094B91">
        <w:rPr>
          <w:rFonts w:ascii="Arial" w:hAnsi="Arial" w:cs="Arial"/>
          <w:sz w:val="20"/>
          <w:szCs w:val="20"/>
        </w:rPr>
        <w:t>#SU0-15740</w:t>
      </w:r>
      <w:r w:rsidR="00693F88" w:rsidRPr="00CA20C3">
        <w:rPr>
          <w:rFonts w:ascii="Arial" w:hAnsi="Arial" w:cs="Arial"/>
          <w:sz w:val="20"/>
          <w:szCs w:val="20"/>
        </w:rPr>
        <w:t xml:space="preserve"> </w:t>
      </w:r>
      <w:r w:rsidRPr="00CA20C3">
        <w:rPr>
          <w:rFonts w:ascii="Arial" w:hAnsi="Arial" w:cs="Arial"/>
          <w:sz w:val="20"/>
          <w:szCs w:val="20"/>
        </w:rPr>
        <w:t xml:space="preserve">titled </w:t>
      </w:r>
      <w:r w:rsidR="00094B91" w:rsidRPr="00094B91">
        <w:rPr>
          <w:rFonts w:ascii="Arial" w:hAnsi="Arial" w:cs="Arial"/>
          <w:sz w:val="20"/>
          <w:szCs w:val="20"/>
        </w:rPr>
        <w:t>Tolt Dam – Fixed Cone Valve and Hydraulic Power Unit</w:t>
      </w:r>
      <w:r w:rsidR="003F23C3" w:rsidRPr="003F23C3">
        <w:rPr>
          <w:rFonts w:ascii="Arial" w:hAnsi="Arial" w:cs="Arial"/>
          <w:sz w:val="20"/>
          <w:szCs w:val="20"/>
        </w:rPr>
        <w:t xml:space="preserve"> </w:t>
      </w:r>
      <w:r w:rsidRPr="00CA20C3">
        <w:rPr>
          <w:rFonts w:ascii="Arial" w:hAnsi="Arial" w:cs="Arial"/>
          <w:sz w:val="20"/>
          <w:szCs w:val="20"/>
        </w:rPr>
        <w:t>released on</w:t>
      </w:r>
      <w:r w:rsidR="00693F88" w:rsidRPr="00CA20C3">
        <w:rPr>
          <w:rFonts w:ascii="Arial" w:hAnsi="Arial" w:cs="Arial"/>
          <w:sz w:val="20"/>
          <w:szCs w:val="20"/>
        </w:rPr>
        <w:t xml:space="preserve"> </w:t>
      </w:r>
      <w:r w:rsidR="00094B91">
        <w:rPr>
          <w:rFonts w:ascii="Arial" w:hAnsi="Arial" w:cs="Arial"/>
          <w:sz w:val="20"/>
          <w:szCs w:val="20"/>
        </w:rPr>
        <w:t>11/06/</w:t>
      </w:r>
      <w:r w:rsidR="003F23C3">
        <w:rPr>
          <w:rFonts w:ascii="Arial" w:hAnsi="Arial" w:cs="Arial"/>
          <w:sz w:val="20"/>
          <w:szCs w:val="20"/>
        </w:rPr>
        <w:t>2019</w:t>
      </w:r>
      <w:r w:rsidR="00E006C3" w:rsidRPr="00CA20C3">
        <w:rPr>
          <w:rFonts w:ascii="Arial" w:hAnsi="Arial" w:cs="Arial"/>
          <w:sz w:val="20"/>
          <w:szCs w:val="20"/>
        </w:rPr>
        <w:t>.</w:t>
      </w:r>
      <w:r w:rsidRPr="00CA20C3">
        <w:rPr>
          <w:rFonts w:ascii="Arial" w:hAnsi="Arial" w:cs="Arial"/>
          <w:sz w:val="20"/>
          <w:szCs w:val="20"/>
        </w:rPr>
        <w:t xml:space="preserve">  The due date and time for responses</w:t>
      </w:r>
      <w:r w:rsidR="008A68D1" w:rsidRPr="00CA20C3">
        <w:rPr>
          <w:rFonts w:ascii="Arial" w:hAnsi="Arial" w:cs="Arial"/>
          <w:sz w:val="20"/>
          <w:szCs w:val="20"/>
        </w:rPr>
        <w:t xml:space="preserve"> is </w:t>
      </w:r>
      <w:r w:rsidR="00094B91">
        <w:rPr>
          <w:rFonts w:ascii="Arial" w:hAnsi="Arial" w:cs="Arial"/>
          <w:sz w:val="20"/>
          <w:szCs w:val="20"/>
        </w:rPr>
        <w:t>12/05/2019</w:t>
      </w:r>
      <w:r w:rsidR="003F23C3">
        <w:rPr>
          <w:rFonts w:ascii="Arial" w:hAnsi="Arial" w:cs="Arial"/>
          <w:sz w:val="20"/>
          <w:szCs w:val="20"/>
        </w:rPr>
        <w:t xml:space="preserve"> 3:00PM</w:t>
      </w:r>
      <w:r w:rsidRPr="00CA20C3">
        <w:rPr>
          <w:rFonts w:ascii="Arial" w:hAnsi="Arial" w:cs="Arial"/>
          <w:sz w:val="20"/>
          <w:szCs w:val="20"/>
        </w:rPr>
        <w:t xml:space="preserve"> (Pacific).  This addendum includes both questions from prospective pr</w:t>
      </w:r>
      <w:r w:rsidR="00D53979">
        <w:rPr>
          <w:rFonts w:ascii="Arial" w:hAnsi="Arial" w:cs="Arial"/>
          <w:sz w:val="20"/>
          <w:szCs w:val="20"/>
        </w:rPr>
        <w:t xml:space="preserve">oposers and the City’s answers </w:t>
      </w:r>
      <w:r w:rsidRPr="00CA20C3">
        <w:rPr>
          <w:rFonts w:ascii="Arial" w:hAnsi="Arial" w:cs="Arial"/>
          <w:sz w:val="20"/>
          <w:szCs w:val="20"/>
        </w:rPr>
        <w:t>and revisions to the ITB</w:t>
      </w:r>
      <w:r w:rsidR="00527C8A" w:rsidRPr="00CA20C3">
        <w:rPr>
          <w:rFonts w:ascii="Arial" w:hAnsi="Arial" w:cs="Arial"/>
          <w:sz w:val="20"/>
          <w:szCs w:val="20"/>
        </w:rPr>
        <w:t>.</w:t>
      </w:r>
      <w:r w:rsidR="00693F88" w:rsidRPr="00CA20C3">
        <w:rPr>
          <w:rFonts w:ascii="Arial" w:hAnsi="Arial" w:cs="Arial"/>
          <w:sz w:val="20"/>
          <w:szCs w:val="20"/>
        </w:rPr>
        <w:t xml:space="preserve"> </w:t>
      </w:r>
      <w:r w:rsidRPr="00CA20C3">
        <w:rPr>
          <w:rFonts w:ascii="Arial" w:hAnsi="Arial" w:cs="Arial"/>
          <w:sz w:val="20"/>
          <w:szCs w:val="20"/>
        </w:rPr>
        <w:t>This addendum is hereby made part of the ITB and therefore, the information contained herein shall be taken into consideration when preparing and submitting a bid.</w:t>
      </w:r>
    </w:p>
    <w:tbl>
      <w:tblPr>
        <w:tblpPr w:leftFromText="187" w:rightFromText="187" w:vertAnchor="page" w:horzAnchor="margin" w:tblpY="342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66"/>
        <w:gridCol w:w="1298"/>
        <w:gridCol w:w="1298"/>
        <w:gridCol w:w="3715"/>
        <w:gridCol w:w="3715"/>
        <w:gridCol w:w="3698"/>
      </w:tblGrid>
      <w:tr w:rsidR="0051500C" w:rsidRPr="00693F88" w14:paraId="7889A099" w14:textId="77777777" w:rsidTr="00BD7F32">
        <w:tc>
          <w:tcPr>
            <w:tcW w:w="231" w:type="pct"/>
            <w:shd w:val="clear" w:color="auto" w:fill="C0C0C0"/>
          </w:tcPr>
          <w:p w14:paraId="182EEAB8"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Item #</w:t>
            </w:r>
          </w:p>
        </w:tc>
        <w:tc>
          <w:tcPr>
            <w:tcW w:w="451" w:type="pct"/>
            <w:shd w:val="clear" w:color="auto" w:fill="C0C0C0"/>
          </w:tcPr>
          <w:p w14:paraId="5AEF49F7"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Received</w:t>
            </w:r>
          </w:p>
        </w:tc>
        <w:tc>
          <w:tcPr>
            <w:tcW w:w="451" w:type="pct"/>
            <w:shd w:val="clear" w:color="auto" w:fill="C0C0C0"/>
          </w:tcPr>
          <w:p w14:paraId="28F5809E"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Date Answered</w:t>
            </w:r>
          </w:p>
        </w:tc>
        <w:tc>
          <w:tcPr>
            <w:tcW w:w="1291" w:type="pct"/>
            <w:shd w:val="clear" w:color="auto" w:fill="C0C0C0"/>
          </w:tcPr>
          <w:p w14:paraId="6D53F8D9"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Vendor’s Question</w:t>
            </w:r>
          </w:p>
        </w:tc>
        <w:tc>
          <w:tcPr>
            <w:tcW w:w="1291" w:type="pct"/>
            <w:shd w:val="clear" w:color="auto" w:fill="C0C0C0"/>
          </w:tcPr>
          <w:p w14:paraId="497E99AA"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City’s Answer</w:t>
            </w:r>
          </w:p>
        </w:tc>
        <w:tc>
          <w:tcPr>
            <w:tcW w:w="1285" w:type="pct"/>
            <w:shd w:val="clear" w:color="auto" w:fill="C0C0C0"/>
          </w:tcPr>
          <w:p w14:paraId="18D9D9EA" w14:textId="77777777" w:rsidR="00B355AE" w:rsidRPr="00693F88" w:rsidRDefault="00B355AE" w:rsidP="0026446C">
            <w:pPr>
              <w:jc w:val="center"/>
              <w:rPr>
                <w:rFonts w:ascii="Arial" w:hAnsi="Arial" w:cs="Arial"/>
                <w:sz w:val="20"/>
                <w:szCs w:val="20"/>
              </w:rPr>
            </w:pPr>
            <w:r w:rsidRPr="00693F88">
              <w:rPr>
                <w:rFonts w:ascii="Arial" w:hAnsi="Arial" w:cs="Arial"/>
                <w:sz w:val="20"/>
                <w:szCs w:val="20"/>
              </w:rPr>
              <w:t>RFP Revisions</w:t>
            </w:r>
          </w:p>
        </w:tc>
      </w:tr>
      <w:tr w:rsidR="00BD7F32" w:rsidRPr="00693F88" w14:paraId="27647463" w14:textId="77777777" w:rsidTr="00BD7F32">
        <w:tc>
          <w:tcPr>
            <w:tcW w:w="231" w:type="pct"/>
          </w:tcPr>
          <w:p w14:paraId="52E30F6F"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w:t>
            </w:r>
          </w:p>
        </w:tc>
        <w:tc>
          <w:tcPr>
            <w:tcW w:w="451" w:type="pct"/>
          </w:tcPr>
          <w:p w14:paraId="6BD3E6EB" w14:textId="456F4F0D" w:rsidR="00BD7F32" w:rsidRPr="00693F88" w:rsidRDefault="00A32F54" w:rsidP="00BD7F32">
            <w:pPr>
              <w:jc w:val="center"/>
              <w:rPr>
                <w:rFonts w:ascii="Arial" w:hAnsi="Arial" w:cs="Arial"/>
                <w:sz w:val="20"/>
                <w:szCs w:val="20"/>
              </w:rPr>
            </w:pPr>
            <w:r>
              <w:rPr>
                <w:rFonts w:ascii="Arial" w:hAnsi="Arial" w:cs="Arial"/>
                <w:sz w:val="20"/>
                <w:szCs w:val="20"/>
              </w:rPr>
              <w:t>11/07/2019</w:t>
            </w:r>
          </w:p>
        </w:tc>
        <w:tc>
          <w:tcPr>
            <w:tcW w:w="451" w:type="pct"/>
          </w:tcPr>
          <w:p w14:paraId="3B4EBE28" w14:textId="57E11393" w:rsidR="00BD7F32" w:rsidRPr="00693F88" w:rsidRDefault="00793A53" w:rsidP="00BD7F32">
            <w:pPr>
              <w:jc w:val="center"/>
              <w:rPr>
                <w:rFonts w:ascii="Arial" w:hAnsi="Arial" w:cs="Arial"/>
                <w:sz w:val="20"/>
                <w:szCs w:val="20"/>
              </w:rPr>
            </w:pPr>
            <w:r>
              <w:rPr>
                <w:rFonts w:ascii="Arial" w:hAnsi="Arial" w:cs="Arial"/>
                <w:sz w:val="20"/>
                <w:szCs w:val="20"/>
              </w:rPr>
              <w:t>11/14/2019</w:t>
            </w:r>
          </w:p>
        </w:tc>
        <w:tc>
          <w:tcPr>
            <w:tcW w:w="1291" w:type="pct"/>
          </w:tcPr>
          <w:p w14:paraId="7EB7EB65" w14:textId="5BA91488" w:rsidR="00BD7F32" w:rsidRPr="00693F88" w:rsidRDefault="00A32F54" w:rsidP="00094B91">
            <w:pPr>
              <w:rPr>
                <w:rFonts w:ascii="Arial" w:hAnsi="Arial" w:cs="Arial"/>
                <w:sz w:val="20"/>
                <w:szCs w:val="20"/>
              </w:rPr>
            </w:pPr>
            <w:r w:rsidRPr="00A32F54">
              <w:rPr>
                <w:rFonts w:ascii="Arial" w:hAnsi="Arial" w:cs="Arial"/>
                <w:sz w:val="20"/>
                <w:szCs w:val="20"/>
              </w:rPr>
              <w:t>Specification Section 35 20 16 1.05 E. – Maximum Allowable Leakage…. 10 ounces per</w:t>
            </w:r>
            <w:r w:rsidR="00094B91">
              <w:rPr>
                <w:rFonts w:ascii="Arial" w:hAnsi="Arial" w:cs="Arial"/>
                <w:sz w:val="20"/>
                <w:szCs w:val="20"/>
              </w:rPr>
              <w:t xml:space="preserve"> </w:t>
            </w:r>
            <w:r w:rsidRPr="00A32F54">
              <w:rPr>
                <w:rFonts w:ascii="Arial" w:hAnsi="Arial" w:cs="Arial"/>
                <w:sz w:val="20"/>
                <w:szCs w:val="20"/>
              </w:rPr>
              <w:t>minute. Will City of Seattle consider setting Maximum Allowable Leakage at 19.2 ounces</w:t>
            </w:r>
            <w:r w:rsidR="00094B91">
              <w:rPr>
                <w:rFonts w:ascii="Arial" w:hAnsi="Arial" w:cs="Arial"/>
                <w:sz w:val="20"/>
                <w:szCs w:val="20"/>
              </w:rPr>
              <w:t xml:space="preserve"> </w:t>
            </w:r>
            <w:r w:rsidRPr="00A32F54">
              <w:rPr>
                <w:rFonts w:ascii="Arial" w:hAnsi="Arial" w:cs="Arial"/>
                <w:sz w:val="20"/>
                <w:szCs w:val="20"/>
              </w:rPr>
              <w:t>per minute in lieu of the specified 10 ounces per minute? FCV leakage rate has ALWAYS</w:t>
            </w:r>
            <w:r w:rsidR="00094B91">
              <w:rPr>
                <w:rFonts w:ascii="Arial" w:hAnsi="Arial" w:cs="Arial"/>
                <w:sz w:val="20"/>
                <w:szCs w:val="20"/>
              </w:rPr>
              <w:t xml:space="preserve"> </w:t>
            </w:r>
            <w:r w:rsidRPr="00A32F54">
              <w:rPr>
                <w:rFonts w:ascii="Arial" w:hAnsi="Arial" w:cs="Arial"/>
                <w:sz w:val="20"/>
                <w:szCs w:val="20"/>
              </w:rPr>
              <w:t>been 0.4 oz/inch/minute which equates to 19.2 ounces per minute for a 48” FCV.</w:t>
            </w:r>
          </w:p>
        </w:tc>
        <w:tc>
          <w:tcPr>
            <w:tcW w:w="1291" w:type="pct"/>
          </w:tcPr>
          <w:p w14:paraId="70CE772D" w14:textId="2C06D202" w:rsidR="00BD7F32" w:rsidRPr="00693F88" w:rsidRDefault="00F91E48" w:rsidP="00BD7F32">
            <w:pPr>
              <w:rPr>
                <w:rFonts w:ascii="Arial" w:hAnsi="Arial" w:cs="Arial"/>
                <w:sz w:val="20"/>
                <w:szCs w:val="20"/>
              </w:rPr>
            </w:pPr>
            <w:r>
              <w:rPr>
                <w:rFonts w:ascii="Arial" w:hAnsi="Arial" w:cs="Arial"/>
                <w:sz w:val="20"/>
                <w:szCs w:val="20"/>
              </w:rPr>
              <w:t>Maximum allowable leakage is very important to SPU in order to be able to inspect the diversion and spillway conduits. Increasing the maximum allowable leakage will not be considered.</w:t>
            </w:r>
          </w:p>
        </w:tc>
        <w:tc>
          <w:tcPr>
            <w:tcW w:w="1285" w:type="pct"/>
          </w:tcPr>
          <w:p w14:paraId="3BBEF25C" w14:textId="77777777" w:rsidR="00693F88" w:rsidRPr="00693F88" w:rsidRDefault="00693F88" w:rsidP="00693F88">
            <w:pPr>
              <w:ind w:left="720"/>
              <w:rPr>
                <w:rFonts w:ascii="Arial" w:hAnsi="Arial" w:cs="Arial"/>
                <w:sz w:val="20"/>
                <w:szCs w:val="20"/>
              </w:rPr>
            </w:pPr>
          </w:p>
        </w:tc>
      </w:tr>
      <w:tr w:rsidR="00BD7F32" w:rsidRPr="00693F88" w14:paraId="54FD51DB" w14:textId="77777777" w:rsidTr="00BD7F32">
        <w:trPr>
          <w:trHeight w:val="188"/>
        </w:trPr>
        <w:tc>
          <w:tcPr>
            <w:tcW w:w="231" w:type="pct"/>
          </w:tcPr>
          <w:p w14:paraId="53D1BFF2"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2</w:t>
            </w:r>
          </w:p>
        </w:tc>
        <w:tc>
          <w:tcPr>
            <w:tcW w:w="451" w:type="pct"/>
          </w:tcPr>
          <w:p w14:paraId="30BD99C8" w14:textId="6E3BCE6F"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74C15296" w14:textId="199167B3"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2F956EE3" w14:textId="574FAE9D" w:rsidR="00BD7F32" w:rsidRPr="00693F88" w:rsidRDefault="00A32F54" w:rsidP="00094B91">
            <w:pPr>
              <w:rPr>
                <w:rFonts w:ascii="Arial" w:hAnsi="Arial" w:cs="Arial"/>
                <w:sz w:val="20"/>
                <w:szCs w:val="20"/>
              </w:rPr>
            </w:pPr>
            <w:r w:rsidRPr="00A32F54">
              <w:rPr>
                <w:rFonts w:ascii="Arial" w:hAnsi="Arial" w:cs="Arial"/>
                <w:sz w:val="20"/>
                <w:szCs w:val="20"/>
              </w:rPr>
              <w:t>Specification Section 35 20 16 2.01 B. 3. – Seats. Specification Section 35 20 16deleting</w:t>
            </w:r>
            <w:r w:rsidR="00094B91">
              <w:rPr>
                <w:rFonts w:ascii="Arial" w:hAnsi="Arial" w:cs="Arial"/>
                <w:sz w:val="20"/>
                <w:szCs w:val="20"/>
              </w:rPr>
              <w:t xml:space="preserve"> </w:t>
            </w:r>
            <w:r w:rsidRPr="00A32F54">
              <w:rPr>
                <w:rFonts w:ascii="Arial" w:hAnsi="Arial" w:cs="Arial"/>
                <w:sz w:val="20"/>
                <w:szCs w:val="20"/>
              </w:rPr>
              <w:t>reference to EPDM (rubber or elastomeric)? Specification Section 35 20 16 2.01 G. 1.</w:t>
            </w:r>
            <w:r w:rsidR="00094B91">
              <w:rPr>
                <w:rFonts w:ascii="Arial" w:hAnsi="Arial" w:cs="Arial"/>
                <w:sz w:val="20"/>
                <w:szCs w:val="20"/>
              </w:rPr>
              <w:t xml:space="preserve"> </w:t>
            </w:r>
            <w:r w:rsidR="00094B91" w:rsidRPr="00A32F54">
              <w:rPr>
                <w:rFonts w:ascii="Arial" w:hAnsi="Arial" w:cs="Arial"/>
                <w:sz w:val="20"/>
                <w:szCs w:val="20"/>
              </w:rPr>
              <w:t xml:space="preserve"> </w:t>
            </w:r>
            <w:r w:rsidRPr="00A32F54">
              <w:rPr>
                <w:rFonts w:ascii="Arial" w:hAnsi="Arial" w:cs="Arial"/>
                <w:sz w:val="20"/>
                <w:szCs w:val="20"/>
              </w:rPr>
              <w:t>requires Sealing Surfaces to be stainless steel (Type 316L, Nitronic 60 or better -</w:t>
            </w:r>
            <w:r w:rsidR="00094B91">
              <w:rPr>
                <w:rFonts w:ascii="Arial" w:hAnsi="Arial" w:cs="Arial"/>
                <w:sz w:val="20"/>
                <w:szCs w:val="20"/>
              </w:rPr>
              <w:t xml:space="preserve"> </w:t>
            </w:r>
            <w:r w:rsidRPr="00A32F54">
              <w:rPr>
                <w:rFonts w:ascii="Arial" w:hAnsi="Arial" w:cs="Arial"/>
                <w:sz w:val="20"/>
                <w:szCs w:val="20"/>
              </w:rPr>
              <w:t>Specification Section 35 20 16 2.01 B. 3.</w:t>
            </w:r>
          </w:p>
        </w:tc>
        <w:tc>
          <w:tcPr>
            <w:tcW w:w="1291" w:type="pct"/>
          </w:tcPr>
          <w:p w14:paraId="47539E81" w14:textId="77777777" w:rsidR="00BD7F32" w:rsidRDefault="002F4063" w:rsidP="00BD7F32">
            <w:pPr>
              <w:rPr>
                <w:rFonts w:ascii="Arial" w:hAnsi="Arial" w:cs="Arial"/>
                <w:sz w:val="20"/>
                <w:szCs w:val="20"/>
              </w:rPr>
            </w:pPr>
            <w:r>
              <w:rPr>
                <w:rFonts w:ascii="Arial" w:hAnsi="Arial" w:cs="Arial"/>
                <w:sz w:val="20"/>
                <w:szCs w:val="20"/>
              </w:rPr>
              <w:t xml:space="preserve">Material grades are provided in 2.01 B 3: </w:t>
            </w:r>
            <w:r w:rsidR="004B0230">
              <w:rPr>
                <w:rFonts w:ascii="Arial" w:hAnsi="Arial" w:cs="Arial"/>
                <w:sz w:val="20"/>
                <w:szCs w:val="20"/>
              </w:rPr>
              <w:t xml:space="preserve">stainless steel type 316L or Nitronic 60. An EPDM seal </w:t>
            </w:r>
            <w:r w:rsidR="008770F7">
              <w:rPr>
                <w:rFonts w:ascii="Arial" w:hAnsi="Arial" w:cs="Arial"/>
                <w:sz w:val="20"/>
                <w:szCs w:val="20"/>
              </w:rPr>
              <w:t>is specified to ensure maximum leakage specification is achieved.</w:t>
            </w:r>
          </w:p>
          <w:p w14:paraId="12CBBFED" w14:textId="0CB1B0E9" w:rsidR="002F4063" w:rsidRPr="00693F88" w:rsidRDefault="002F4063" w:rsidP="00BD7F32">
            <w:pPr>
              <w:rPr>
                <w:rFonts w:ascii="Arial" w:hAnsi="Arial" w:cs="Arial"/>
                <w:sz w:val="20"/>
                <w:szCs w:val="20"/>
              </w:rPr>
            </w:pPr>
            <w:r>
              <w:rPr>
                <w:rFonts w:ascii="Arial" w:hAnsi="Arial" w:cs="Arial"/>
                <w:sz w:val="20"/>
                <w:szCs w:val="20"/>
              </w:rPr>
              <w:t xml:space="preserve">Section 2.01 G provides details on how </w:t>
            </w:r>
            <w:r w:rsidR="00FF5AEA">
              <w:rPr>
                <w:rFonts w:ascii="Arial" w:hAnsi="Arial" w:cs="Arial"/>
                <w:sz w:val="20"/>
                <w:szCs w:val="20"/>
              </w:rPr>
              <w:t xml:space="preserve">the sealing system is </w:t>
            </w:r>
            <w:r>
              <w:rPr>
                <w:rFonts w:ascii="Arial" w:hAnsi="Arial" w:cs="Arial"/>
                <w:sz w:val="20"/>
                <w:szCs w:val="20"/>
              </w:rPr>
              <w:t>to be implemented. EPDM seal should be protected from damage due to flow per Section 2.01 C.</w:t>
            </w:r>
          </w:p>
        </w:tc>
        <w:tc>
          <w:tcPr>
            <w:tcW w:w="1285" w:type="pct"/>
          </w:tcPr>
          <w:p w14:paraId="2D8EA930" w14:textId="77777777" w:rsidR="00693F88" w:rsidRPr="00693F88" w:rsidRDefault="00693F88" w:rsidP="00693F88">
            <w:pPr>
              <w:rPr>
                <w:rFonts w:ascii="Arial" w:hAnsi="Arial" w:cs="Arial"/>
                <w:sz w:val="20"/>
                <w:szCs w:val="20"/>
              </w:rPr>
            </w:pPr>
          </w:p>
        </w:tc>
      </w:tr>
      <w:tr w:rsidR="00BD7F32" w:rsidRPr="00693F88" w14:paraId="069CADDC" w14:textId="77777777" w:rsidTr="00BD7F32">
        <w:tc>
          <w:tcPr>
            <w:tcW w:w="231" w:type="pct"/>
          </w:tcPr>
          <w:p w14:paraId="153A19F9"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3</w:t>
            </w:r>
          </w:p>
        </w:tc>
        <w:tc>
          <w:tcPr>
            <w:tcW w:w="451" w:type="pct"/>
          </w:tcPr>
          <w:p w14:paraId="71033002" w14:textId="51D69437"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2255B2AA" w14:textId="7AB1280F"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4CB3FA00" w14:textId="649B8DED" w:rsidR="00BD7F32" w:rsidRPr="00693F88" w:rsidRDefault="00A32F54" w:rsidP="00094B91">
            <w:pPr>
              <w:rPr>
                <w:rFonts w:ascii="Arial" w:hAnsi="Arial" w:cs="Arial"/>
                <w:sz w:val="20"/>
                <w:szCs w:val="20"/>
              </w:rPr>
            </w:pPr>
            <w:r w:rsidRPr="00A32F54">
              <w:rPr>
                <w:rFonts w:ascii="Arial" w:hAnsi="Arial" w:cs="Arial"/>
                <w:sz w:val="20"/>
                <w:szCs w:val="20"/>
              </w:rPr>
              <w:t>Specification Section 35 20 16 2.01 D.1. – “… corrosion/erosion allowance of at least 1/8</w:t>
            </w:r>
            <w:r w:rsidR="00094B91">
              <w:rPr>
                <w:rFonts w:ascii="Arial" w:hAnsi="Arial" w:cs="Arial"/>
                <w:sz w:val="20"/>
                <w:szCs w:val="20"/>
              </w:rPr>
              <w:t xml:space="preserve"> </w:t>
            </w:r>
            <w:r w:rsidRPr="00A32F54">
              <w:rPr>
                <w:rFonts w:ascii="Arial" w:hAnsi="Arial" w:cs="Arial"/>
                <w:sz w:val="20"/>
                <w:szCs w:val="20"/>
              </w:rPr>
              <w:t>inch …”. Will City of Seattle consider deleting this in its entirety? 48” FCV is required to be</w:t>
            </w:r>
            <w:r w:rsidR="00094B91">
              <w:rPr>
                <w:rFonts w:ascii="Arial" w:hAnsi="Arial" w:cs="Arial"/>
                <w:sz w:val="20"/>
                <w:szCs w:val="20"/>
              </w:rPr>
              <w:t xml:space="preserve"> </w:t>
            </w:r>
            <w:r w:rsidRPr="00A32F54">
              <w:rPr>
                <w:rFonts w:ascii="Arial" w:hAnsi="Arial" w:cs="Arial"/>
                <w:sz w:val="20"/>
                <w:szCs w:val="20"/>
              </w:rPr>
              <w:t>100% corrosion resistant stainless-steel construction.</w:t>
            </w:r>
          </w:p>
        </w:tc>
        <w:tc>
          <w:tcPr>
            <w:tcW w:w="1291" w:type="pct"/>
          </w:tcPr>
          <w:p w14:paraId="2F8AAE76" w14:textId="7BB4E315" w:rsidR="00BD7F32" w:rsidRPr="00693F88" w:rsidRDefault="00F91E48" w:rsidP="00BD7F32">
            <w:pPr>
              <w:rPr>
                <w:rFonts w:ascii="Arial" w:hAnsi="Arial" w:cs="Arial"/>
                <w:sz w:val="20"/>
                <w:szCs w:val="20"/>
              </w:rPr>
            </w:pPr>
            <w:r>
              <w:rPr>
                <w:rFonts w:ascii="Arial" w:hAnsi="Arial" w:cs="Arial"/>
                <w:sz w:val="20"/>
                <w:szCs w:val="20"/>
              </w:rPr>
              <w:t>Allowance of 1/8 inch on all water passage surfaces to account for erosion will be retained.</w:t>
            </w:r>
          </w:p>
        </w:tc>
        <w:tc>
          <w:tcPr>
            <w:tcW w:w="1285" w:type="pct"/>
          </w:tcPr>
          <w:p w14:paraId="7653C43F" w14:textId="77777777" w:rsidR="00AE3065" w:rsidRPr="00693F88" w:rsidRDefault="00AE3065" w:rsidP="00AE3065">
            <w:pPr>
              <w:rPr>
                <w:rFonts w:ascii="Arial" w:hAnsi="Arial" w:cs="Arial"/>
                <w:sz w:val="20"/>
                <w:szCs w:val="20"/>
              </w:rPr>
            </w:pPr>
          </w:p>
        </w:tc>
      </w:tr>
      <w:tr w:rsidR="00BD7F32" w:rsidRPr="00693F88" w14:paraId="467101C2" w14:textId="77777777" w:rsidTr="00BD7F32">
        <w:tc>
          <w:tcPr>
            <w:tcW w:w="231" w:type="pct"/>
          </w:tcPr>
          <w:p w14:paraId="43C685E5"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4</w:t>
            </w:r>
          </w:p>
        </w:tc>
        <w:tc>
          <w:tcPr>
            <w:tcW w:w="451" w:type="pct"/>
          </w:tcPr>
          <w:p w14:paraId="320B8C24" w14:textId="76302A79"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000C14C7" w14:textId="0C9527AC"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6A85C5A5" w14:textId="0AC7A3AA" w:rsidR="00BD7F32" w:rsidRPr="00693F88" w:rsidRDefault="00A32F54" w:rsidP="00094B91">
            <w:pPr>
              <w:rPr>
                <w:rFonts w:ascii="Arial" w:hAnsi="Arial" w:cs="Arial"/>
                <w:sz w:val="20"/>
                <w:szCs w:val="20"/>
              </w:rPr>
            </w:pPr>
            <w:r w:rsidRPr="00A32F54">
              <w:rPr>
                <w:rFonts w:ascii="Arial" w:hAnsi="Arial" w:cs="Arial"/>
                <w:sz w:val="20"/>
                <w:szCs w:val="20"/>
              </w:rPr>
              <w:t xml:space="preserve">Specification Section 35 20 16 2.01 H. 2. – “... full-faced gasket.” Will City of </w:t>
            </w:r>
            <w:r w:rsidRPr="00A32F54">
              <w:rPr>
                <w:rFonts w:ascii="Arial" w:hAnsi="Arial" w:cs="Arial"/>
                <w:sz w:val="20"/>
                <w:szCs w:val="20"/>
              </w:rPr>
              <w:lastRenderedPageBreak/>
              <w:t>Seattle</w:t>
            </w:r>
            <w:r w:rsidR="00094B91">
              <w:rPr>
                <w:rFonts w:ascii="Arial" w:hAnsi="Arial" w:cs="Arial"/>
                <w:sz w:val="20"/>
                <w:szCs w:val="20"/>
              </w:rPr>
              <w:t xml:space="preserve"> </w:t>
            </w:r>
            <w:r w:rsidRPr="00A32F54">
              <w:rPr>
                <w:rFonts w:ascii="Arial" w:hAnsi="Arial" w:cs="Arial"/>
                <w:sz w:val="20"/>
                <w:szCs w:val="20"/>
              </w:rPr>
              <w:t>consider deleting full-face gasket and replace with “O”-Ring seal in “O”-Ring groove in 48”</w:t>
            </w:r>
            <w:r w:rsidR="00094B91">
              <w:rPr>
                <w:rFonts w:ascii="Arial" w:hAnsi="Arial" w:cs="Arial"/>
                <w:sz w:val="20"/>
                <w:szCs w:val="20"/>
              </w:rPr>
              <w:t xml:space="preserve"> </w:t>
            </w:r>
            <w:r w:rsidRPr="00A32F54">
              <w:rPr>
                <w:rFonts w:ascii="Arial" w:hAnsi="Arial" w:cs="Arial"/>
                <w:sz w:val="20"/>
                <w:szCs w:val="20"/>
              </w:rPr>
              <w:t>FCV upstream connecting flange? We do not recommend mounting FCV’s EXCEPT on full</w:t>
            </w:r>
            <w:r w:rsidR="00094B91">
              <w:rPr>
                <w:rFonts w:ascii="Arial" w:hAnsi="Arial" w:cs="Arial"/>
                <w:sz w:val="20"/>
                <w:szCs w:val="20"/>
              </w:rPr>
              <w:t xml:space="preserve"> </w:t>
            </w:r>
            <w:r w:rsidRPr="00A32F54">
              <w:rPr>
                <w:rFonts w:ascii="Arial" w:hAnsi="Arial" w:cs="Arial"/>
                <w:sz w:val="20"/>
                <w:szCs w:val="20"/>
              </w:rPr>
              <w:t>metal to metal flange face connection. FCV’s are fully cantilevered from upstream</w:t>
            </w:r>
            <w:r w:rsidR="00094B91">
              <w:rPr>
                <w:rFonts w:ascii="Arial" w:hAnsi="Arial" w:cs="Arial"/>
                <w:sz w:val="20"/>
                <w:szCs w:val="20"/>
              </w:rPr>
              <w:t xml:space="preserve"> </w:t>
            </w:r>
            <w:r w:rsidRPr="00A32F54">
              <w:rPr>
                <w:rFonts w:ascii="Arial" w:hAnsi="Arial" w:cs="Arial"/>
                <w:sz w:val="20"/>
                <w:szCs w:val="20"/>
              </w:rPr>
              <w:t>connecting flange with no outboard support. There are other acceptable methods of protection</w:t>
            </w:r>
            <w:r>
              <w:rPr>
                <w:rFonts w:ascii="Arial" w:hAnsi="Arial" w:cs="Arial"/>
                <w:sz w:val="20"/>
                <w:szCs w:val="20"/>
              </w:rPr>
              <w:t xml:space="preserve"> </w:t>
            </w:r>
            <w:r w:rsidRPr="00A32F54">
              <w:rPr>
                <w:rFonts w:ascii="Arial" w:hAnsi="Arial" w:cs="Arial"/>
                <w:sz w:val="20"/>
                <w:szCs w:val="20"/>
              </w:rPr>
              <w:t>against any galvanic corrosion potential besides flange isolation kits.</w:t>
            </w:r>
          </w:p>
        </w:tc>
        <w:tc>
          <w:tcPr>
            <w:tcW w:w="1291" w:type="pct"/>
          </w:tcPr>
          <w:p w14:paraId="2DDDC77C" w14:textId="2C806C74" w:rsidR="008770F7" w:rsidRDefault="008770F7" w:rsidP="00BD7F32">
            <w:pPr>
              <w:rPr>
                <w:rFonts w:ascii="Arial" w:hAnsi="Arial" w:cs="Arial"/>
                <w:sz w:val="20"/>
                <w:szCs w:val="20"/>
              </w:rPr>
            </w:pPr>
            <w:r>
              <w:rPr>
                <w:rFonts w:ascii="Arial" w:hAnsi="Arial" w:cs="Arial"/>
                <w:sz w:val="20"/>
                <w:szCs w:val="20"/>
              </w:rPr>
              <w:lastRenderedPageBreak/>
              <w:t xml:space="preserve">Electrical isolation of the fixed cone valve from the extension spool is </w:t>
            </w:r>
            <w:r>
              <w:rPr>
                <w:rFonts w:ascii="Arial" w:hAnsi="Arial" w:cs="Arial"/>
                <w:sz w:val="20"/>
                <w:szCs w:val="20"/>
              </w:rPr>
              <w:lastRenderedPageBreak/>
              <w:t>required. Full-faced gasket with matching isolating sleeves and washers is envisioned. Full-faced gasket system is specified. O-ring seal without an isolation system is not permitted.</w:t>
            </w:r>
          </w:p>
          <w:p w14:paraId="3DF4ECD7" w14:textId="77777777" w:rsidR="008770F7" w:rsidRDefault="008770F7" w:rsidP="00BD7F32">
            <w:pPr>
              <w:rPr>
                <w:rFonts w:ascii="Arial" w:hAnsi="Arial" w:cs="Arial"/>
                <w:sz w:val="20"/>
                <w:szCs w:val="20"/>
              </w:rPr>
            </w:pPr>
          </w:p>
          <w:p w14:paraId="28FC435B" w14:textId="0A95CB03" w:rsidR="008770F7" w:rsidRPr="00693F88" w:rsidRDefault="008770F7" w:rsidP="00BD7F32">
            <w:pPr>
              <w:rPr>
                <w:rFonts w:ascii="Arial" w:hAnsi="Arial" w:cs="Arial"/>
                <w:sz w:val="20"/>
                <w:szCs w:val="20"/>
              </w:rPr>
            </w:pPr>
            <w:r w:rsidRPr="00793A53">
              <w:rPr>
                <w:rFonts w:ascii="Arial" w:hAnsi="Arial" w:cs="Arial"/>
                <w:sz w:val="20"/>
                <w:szCs w:val="20"/>
              </w:rPr>
              <w:t xml:space="preserve">Proponent may provide technical details on the alternate proposal to achieve </w:t>
            </w:r>
            <w:r w:rsidR="00F65097" w:rsidRPr="00793A53">
              <w:rPr>
                <w:rFonts w:ascii="Arial" w:hAnsi="Arial" w:cs="Arial"/>
                <w:sz w:val="20"/>
                <w:szCs w:val="20"/>
              </w:rPr>
              <w:t>electrical isolation of the fixed cone valve from the extension spool for evaluation.</w:t>
            </w:r>
          </w:p>
        </w:tc>
        <w:tc>
          <w:tcPr>
            <w:tcW w:w="1285" w:type="pct"/>
          </w:tcPr>
          <w:p w14:paraId="70B0B733" w14:textId="77777777" w:rsidR="00BD7F32" w:rsidRPr="00693F88" w:rsidRDefault="00BD7F32" w:rsidP="00BD7F32">
            <w:pPr>
              <w:rPr>
                <w:rFonts w:ascii="Arial" w:hAnsi="Arial" w:cs="Arial"/>
                <w:sz w:val="20"/>
                <w:szCs w:val="20"/>
              </w:rPr>
            </w:pPr>
          </w:p>
        </w:tc>
      </w:tr>
      <w:tr w:rsidR="00BD7F32" w:rsidRPr="00693F88" w14:paraId="1A5ABA66" w14:textId="77777777" w:rsidTr="00BD7F32">
        <w:tc>
          <w:tcPr>
            <w:tcW w:w="231" w:type="pct"/>
          </w:tcPr>
          <w:p w14:paraId="785D4E68"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5</w:t>
            </w:r>
          </w:p>
        </w:tc>
        <w:tc>
          <w:tcPr>
            <w:tcW w:w="451" w:type="pct"/>
          </w:tcPr>
          <w:p w14:paraId="2E95F14E" w14:textId="1BCAD0DA"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49570B30" w14:textId="53A81A69"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2B54FFB7" w14:textId="2C344CAD" w:rsidR="00BD7F32" w:rsidRPr="00693F88" w:rsidRDefault="00A32F54" w:rsidP="00793A53">
            <w:pPr>
              <w:rPr>
                <w:rFonts w:ascii="Arial" w:hAnsi="Arial" w:cs="Arial"/>
                <w:sz w:val="20"/>
                <w:szCs w:val="20"/>
              </w:rPr>
            </w:pPr>
            <w:r w:rsidRPr="00A32F54">
              <w:rPr>
                <w:rFonts w:ascii="Arial" w:hAnsi="Arial" w:cs="Arial"/>
                <w:sz w:val="20"/>
                <w:szCs w:val="20"/>
              </w:rPr>
              <w:t>Specification Section 35 20 16 2.02 – Hydraulic Actuator. Will City of Seattle consider</w:t>
            </w:r>
            <w:r w:rsidR="00793A53">
              <w:rPr>
                <w:rFonts w:ascii="Arial" w:hAnsi="Arial" w:cs="Arial"/>
                <w:sz w:val="20"/>
                <w:szCs w:val="20"/>
              </w:rPr>
              <w:t xml:space="preserve"> </w:t>
            </w:r>
            <w:r w:rsidRPr="00A32F54">
              <w:rPr>
                <w:rFonts w:ascii="Arial" w:hAnsi="Arial" w:cs="Arial"/>
                <w:sz w:val="20"/>
                <w:szCs w:val="20"/>
              </w:rPr>
              <w:t>standard 3,000 psi rated Tie Rod cylinder construction in lieu of highly specialized “… heavy</w:t>
            </w:r>
            <w:r>
              <w:rPr>
                <w:rFonts w:ascii="Arial" w:hAnsi="Arial" w:cs="Arial"/>
                <w:sz w:val="20"/>
                <w:szCs w:val="20"/>
              </w:rPr>
              <w:t xml:space="preserve"> </w:t>
            </w:r>
            <w:r w:rsidRPr="00A32F54">
              <w:rPr>
                <w:rFonts w:ascii="Arial" w:hAnsi="Arial" w:cs="Arial"/>
                <w:sz w:val="20"/>
                <w:szCs w:val="20"/>
              </w:rPr>
              <w:t>duty</w:t>
            </w:r>
            <w:r>
              <w:rPr>
                <w:rFonts w:ascii="Arial" w:hAnsi="Arial" w:cs="Arial"/>
                <w:sz w:val="20"/>
                <w:szCs w:val="20"/>
              </w:rPr>
              <w:t xml:space="preserve"> </w:t>
            </w:r>
            <w:r w:rsidRPr="00A32F54">
              <w:rPr>
                <w:rFonts w:ascii="Arial" w:hAnsi="Arial" w:cs="Arial"/>
                <w:sz w:val="20"/>
                <w:szCs w:val="20"/>
              </w:rPr>
              <w:t>mill type construction.” specified?</w:t>
            </w:r>
          </w:p>
        </w:tc>
        <w:tc>
          <w:tcPr>
            <w:tcW w:w="1291" w:type="pct"/>
          </w:tcPr>
          <w:p w14:paraId="76E2C9B2" w14:textId="492A67F9" w:rsidR="00BD7F32" w:rsidRPr="00A32F54" w:rsidRDefault="00F65097" w:rsidP="00BD7F32">
            <w:pPr>
              <w:rPr>
                <w:rFonts w:ascii="Arial" w:hAnsi="Arial" w:cs="Arial"/>
                <w:sz w:val="20"/>
                <w:szCs w:val="20"/>
              </w:rPr>
            </w:pPr>
            <w:r>
              <w:rPr>
                <w:rFonts w:ascii="Arial" w:hAnsi="Arial" w:cs="Arial"/>
                <w:sz w:val="20"/>
                <w:szCs w:val="20"/>
              </w:rPr>
              <w:t>Specialized construction is specified for the cylinders to achieve high longevity and reliability. Tie rod type cylinders construction is not acceptable.</w:t>
            </w:r>
          </w:p>
        </w:tc>
        <w:tc>
          <w:tcPr>
            <w:tcW w:w="1285" w:type="pct"/>
          </w:tcPr>
          <w:p w14:paraId="7560B709" w14:textId="77777777" w:rsidR="00BD7F32" w:rsidRPr="00693F88" w:rsidRDefault="00BD7F32" w:rsidP="00BD7F32">
            <w:pPr>
              <w:rPr>
                <w:rFonts w:ascii="Arial" w:hAnsi="Arial" w:cs="Arial"/>
                <w:sz w:val="20"/>
                <w:szCs w:val="20"/>
              </w:rPr>
            </w:pPr>
          </w:p>
        </w:tc>
      </w:tr>
      <w:tr w:rsidR="00BD7F32" w:rsidRPr="00693F88" w14:paraId="1A3AA140" w14:textId="77777777" w:rsidTr="00BD7F32">
        <w:tc>
          <w:tcPr>
            <w:tcW w:w="231" w:type="pct"/>
          </w:tcPr>
          <w:p w14:paraId="25ADA4B6"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6</w:t>
            </w:r>
          </w:p>
        </w:tc>
        <w:tc>
          <w:tcPr>
            <w:tcW w:w="451" w:type="pct"/>
          </w:tcPr>
          <w:p w14:paraId="1194A2CD" w14:textId="0C15A892"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0E364D4B" w14:textId="12E5777B"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54400046" w14:textId="00ADBC3A" w:rsidR="00BD7F32" w:rsidRPr="00A32F54" w:rsidRDefault="00A32F54" w:rsidP="00A32F54">
            <w:pPr>
              <w:rPr>
                <w:rFonts w:ascii="Arial" w:hAnsi="Arial" w:cs="Arial"/>
                <w:sz w:val="20"/>
                <w:szCs w:val="20"/>
              </w:rPr>
            </w:pPr>
            <w:r w:rsidRPr="00A32F54">
              <w:rPr>
                <w:rFonts w:ascii="Arial" w:hAnsi="Arial" w:cs="Arial"/>
                <w:sz w:val="20"/>
                <w:szCs w:val="20"/>
              </w:rPr>
              <w:t>Specification Section 35 20 16 3.01 F. 4. a. &amp; c. – Inspection of Weldments. Will City of</w:t>
            </w:r>
            <w:r>
              <w:rPr>
                <w:rFonts w:ascii="Arial" w:hAnsi="Arial" w:cs="Arial"/>
                <w:sz w:val="20"/>
                <w:szCs w:val="20"/>
              </w:rPr>
              <w:t xml:space="preserve"> </w:t>
            </w:r>
            <w:r w:rsidRPr="00A32F54">
              <w:rPr>
                <w:rFonts w:ascii="Arial" w:hAnsi="Arial" w:cs="Arial"/>
                <w:sz w:val="20"/>
                <w:szCs w:val="20"/>
              </w:rPr>
              <w:t>Seattle consider deleting requirement for Magnetic Particle Examination and replace with</w:t>
            </w:r>
            <w:r>
              <w:rPr>
                <w:rFonts w:ascii="Arial" w:hAnsi="Arial" w:cs="Arial"/>
                <w:sz w:val="20"/>
                <w:szCs w:val="20"/>
              </w:rPr>
              <w:t xml:space="preserve"> </w:t>
            </w:r>
            <w:r w:rsidRPr="00A32F54">
              <w:rPr>
                <w:rFonts w:ascii="Arial" w:hAnsi="Arial" w:cs="Arial"/>
                <w:sz w:val="20"/>
                <w:szCs w:val="20"/>
              </w:rPr>
              <w:t>requirement for Liquid Dye Penetrant Examination? MT is used on ferrous (Iron &amp; Steel) while PT is used on corrosion resistant stainless steel.</w:t>
            </w:r>
          </w:p>
        </w:tc>
        <w:tc>
          <w:tcPr>
            <w:tcW w:w="1291" w:type="pct"/>
          </w:tcPr>
          <w:p w14:paraId="365768F4" w14:textId="26B4D85C" w:rsidR="00BD7F32" w:rsidRPr="00A32F54" w:rsidRDefault="00F65097" w:rsidP="00BD7F32">
            <w:pPr>
              <w:rPr>
                <w:rFonts w:ascii="Arial" w:hAnsi="Arial" w:cs="Arial"/>
                <w:sz w:val="20"/>
                <w:szCs w:val="20"/>
              </w:rPr>
            </w:pPr>
            <w:r>
              <w:rPr>
                <w:rFonts w:ascii="Arial" w:hAnsi="Arial" w:cs="Arial"/>
                <w:sz w:val="20"/>
                <w:szCs w:val="20"/>
              </w:rPr>
              <w:t>Liquid dye penetrant examination may only be used if the magnetic particle examination method does not work on the types of stainless steels used for the valve. Thorough cleanup of the residue from the liquid dye penetrant as some dyes are harmful to aqu</w:t>
            </w:r>
            <w:r w:rsidR="00A02DCB">
              <w:rPr>
                <w:rFonts w:ascii="Arial" w:hAnsi="Arial" w:cs="Arial"/>
                <w:sz w:val="20"/>
                <w:szCs w:val="20"/>
              </w:rPr>
              <w:t>a</w:t>
            </w:r>
            <w:r>
              <w:rPr>
                <w:rFonts w:ascii="Arial" w:hAnsi="Arial" w:cs="Arial"/>
                <w:sz w:val="20"/>
                <w:szCs w:val="20"/>
              </w:rPr>
              <w:t xml:space="preserve">tic life (see Section 35 20 16 </w:t>
            </w:r>
            <w:r w:rsidR="00A02DCB">
              <w:rPr>
                <w:rFonts w:ascii="Arial" w:hAnsi="Arial" w:cs="Arial"/>
                <w:sz w:val="20"/>
                <w:szCs w:val="20"/>
              </w:rPr>
              <w:t>3.01 A.4).</w:t>
            </w:r>
          </w:p>
        </w:tc>
        <w:tc>
          <w:tcPr>
            <w:tcW w:w="1285" w:type="pct"/>
          </w:tcPr>
          <w:p w14:paraId="52622537" w14:textId="77777777" w:rsidR="00BD7F32" w:rsidRPr="00A32F54" w:rsidRDefault="00BD7F32" w:rsidP="00BD7F32">
            <w:pPr>
              <w:rPr>
                <w:rFonts w:ascii="Arial" w:hAnsi="Arial" w:cs="Arial"/>
                <w:sz w:val="20"/>
                <w:szCs w:val="20"/>
              </w:rPr>
            </w:pPr>
          </w:p>
        </w:tc>
      </w:tr>
      <w:tr w:rsidR="00BD7F32" w:rsidRPr="00693F88" w14:paraId="31EC6991" w14:textId="77777777" w:rsidTr="00BD7F32">
        <w:tc>
          <w:tcPr>
            <w:tcW w:w="231" w:type="pct"/>
          </w:tcPr>
          <w:p w14:paraId="5648C7CD"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7</w:t>
            </w:r>
          </w:p>
        </w:tc>
        <w:tc>
          <w:tcPr>
            <w:tcW w:w="451" w:type="pct"/>
          </w:tcPr>
          <w:p w14:paraId="4125DC1D" w14:textId="32C9B79B"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647A19CD" w14:textId="4E49EEE2"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49B76FD2" w14:textId="77777777" w:rsidR="00A32F54" w:rsidRPr="00A32F54" w:rsidRDefault="00A32F54" w:rsidP="00A32F54">
            <w:pPr>
              <w:rPr>
                <w:rFonts w:ascii="Arial" w:hAnsi="Arial" w:cs="Arial"/>
                <w:sz w:val="20"/>
                <w:szCs w:val="20"/>
              </w:rPr>
            </w:pPr>
            <w:r w:rsidRPr="00A32F54">
              <w:rPr>
                <w:rFonts w:ascii="Arial" w:hAnsi="Arial" w:cs="Arial"/>
                <w:sz w:val="20"/>
                <w:szCs w:val="20"/>
              </w:rPr>
              <w:t>Specification Section 35 20 16 3.01 G. – Protective Coatings – We request clarification.</w:t>
            </w:r>
          </w:p>
          <w:p w14:paraId="3B3CC270" w14:textId="4599C546" w:rsidR="00BD7F32" w:rsidRPr="00A32F54" w:rsidRDefault="00A32F54" w:rsidP="00A32F54">
            <w:pPr>
              <w:rPr>
                <w:rFonts w:ascii="Arial" w:hAnsi="Arial" w:cs="Arial"/>
                <w:sz w:val="20"/>
                <w:szCs w:val="20"/>
              </w:rPr>
            </w:pPr>
            <w:r w:rsidRPr="00A32F54">
              <w:rPr>
                <w:rFonts w:ascii="Arial" w:hAnsi="Arial" w:cs="Arial"/>
                <w:sz w:val="20"/>
                <w:szCs w:val="20"/>
              </w:rPr>
              <w:t>Protective coatings ONLY applies to Specification Section 35 20 16 2.03 HYDRAULIC</w:t>
            </w:r>
            <w:r>
              <w:rPr>
                <w:rFonts w:ascii="Arial" w:hAnsi="Arial" w:cs="Arial"/>
                <w:sz w:val="20"/>
                <w:szCs w:val="20"/>
              </w:rPr>
              <w:t xml:space="preserve"> </w:t>
            </w:r>
            <w:r w:rsidRPr="00A32F54">
              <w:rPr>
                <w:rFonts w:ascii="Arial" w:hAnsi="Arial" w:cs="Arial"/>
                <w:sz w:val="20"/>
                <w:szCs w:val="20"/>
              </w:rPr>
              <w:t>CONTROL SYSTEM. 48” FCV AND HYDRAULIC ACTUATOR are ALL 100%</w:t>
            </w:r>
            <w:r>
              <w:rPr>
                <w:rFonts w:ascii="Arial" w:hAnsi="Arial" w:cs="Arial"/>
                <w:sz w:val="20"/>
                <w:szCs w:val="20"/>
              </w:rPr>
              <w:t xml:space="preserve"> </w:t>
            </w:r>
            <w:r w:rsidRPr="00A32F54">
              <w:rPr>
                <w:rFonts w:ascii="Arial" w:hAnsi="Arial" w:cs="Arial"/>
                <w:sz w:val="20"/>
                <w:szCs w:val="20"/>
              </w:rPr>
              <w:t>corrosion resistant stainless-steel construction AND are NOT RECOMMENDED to be</w:t>
            </w:r>
            <w:r>
              <w:rPr>
                <w:rFonts w:ascii="Arial" w:hAnsi="Arial" w:cs="Arial"/>
                <w:sz w:val="20"/>
                <w:szCs w:val="20"/>
              </w:rPr>
              <w:t xml:space="preserve"> </w:t>
            </w:r>
            <w:r w:rsidRPr="00A32F54">
              <w:rPr>
                <w:rFonts w:ascii="Arial" w:hAnsi="Arial" w:cs="Arial"/>
                <w:sz w:val="20"/>
                <w:szCs w:val="20"/>
              </w:rPr>
              <w:t>coated.</w:t>
            </w:r>
          </w:p>
        </w:tc>
        <w:tc>
          <w:tcPr>
            <w:tcW w:w="1291" w:type="pct"/>
          </w:tcPr>
          <w:p w14:paraId="24FC0AEC" w14:textId="5131A715" w:rsidR="00BD7F32" w:rsidRPr="00A32F54" w:rsidRDefault="00A02DCB" w:rsidP="00BD7F32">
            <w:pPr>
              <w:rPr>
                <w:rFonts w:ascii="Arial" w:hAnsi="Arial" w:cs="Arial"/>
                <w:sz w:val="20"/>
                <w:szCs w:val="20"/>
              </w:rPr>
            </w:pPr>
            <w:r>
              <w:rPr>
                <w:rFonts w:ascii="Arial" w:hAnsi="Arial" w:cs="Arial"/>
                <w:sz w:val="20"/>
                <w:szCs w:val="20"/>
              </w:rPr>
              <w:t>Coatings are not required on the FCV and hydraulic actuator components fabricated from stainless steel per 35 20 16 3.01 G.6 c.</w:t>
            </w:r>
          </w:p>
        </w:tc>
        <w:tc>
          <w:tcPr>
            <w:tcW w:w="1285" w:type="pct"/>
          </w:tcPr>
          <w:p w14:paraId="743BB71B" w14:textId="77777777" w:rsidR="00BD7F32" w:rsidRPr="00A32F54" w:rsidRDefault="00BD7F32" w:rsidP="00BD7F32">
            <w:pPr>
              <w:pStyle w:val="ListParagraph"/>
              <w:autoSpaceDE w:val="0"/>
              <w:autoSpaceDN w:val="0"/>
              <w:adjustRightInd w:val="0"/>
              <w:ind w:left="0"/>
              <w:contextualSpacing/>
              <w:rPr>
                <w:rFonts w:ascii="Arial" w:hAnsi="Arial" w:cs="Arial"/>
                <w:sz w:val="20"/>
                <w:szCs w:val="20"/>
              </w:rPr>
            </w:pPr>
          </w:p>
        </w:tc>
      </w:tr>
      <w:tr w:rsidR="00BD7F32" w:rsidRPr="00693F88" w14:paraId="279A372F" w14:textId="77777777" w:rsidTr="00BD7F32">
        <w:tc>
          <w:tcPr>
            <w:tcW w:w="231" w:type="pct"/>
          </w:tcPr>
          <w:p w14:paraId="559AA2BC"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lastRenderedPageBreak/>
              <w:t>8</w:t>
            </w:r>
          </w:p>
        </w:tc>
        <w:tc>
          <w:tcPr>
            <w:tcW w:w="451" w:type="pct"/>
          </w:tcPr>
          <w:p w14:paraId="2861F5F1" w14:textId="27EB8F3F"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5124EAC1" w14:textId="679B3619"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104EBD8A" w14:textId="29096108" w:rsidR="00BD7F32" w:rsidRPr="00A32F54" w:rsidRDefault="00A32F54" w:rsidP="00A32F54">
            <w:pPr>
              <w:rPr>
                <w:rFonts w:ascii="Arial" w:hAnsi="Arial" w:cs="Arial"/>
                <w:sz w:val="20"/>
                <w:szCs w:val="20"/>
              </w:rPr>
            </w:pPr>
            <w:r w:rsidRPr="00A32F54">
              <w:rPr>
                <w:rFonts w:ascii="Arial" w:hAnsi="Arial" w:cs="Arial"/>
                <w:sz w:val="20"/>
                <w:szCs w:val="20"/>
              </w:rPr>
              <w:t>Plan Sheet S-203 – Please identify “free air” venting provision for 48” FCV. Contrary to the</w:t>
            </w:r>
            <w:r>
              <w:rPr>
                <w:rFonts w:ascii="Arial" w:hAnsi="Arial" w:cs="Arial"/>
                <w:sz w:val="20"/>
                <w:szCs w:val="20"/>
              </w:rPr>
              <w:t xml:space="preserve"> </w:t>
            </w:r>
            <w:r w:rsidRPr="00A32F54">
              <w:rPr>
                <w:rFonts w:ascii="Arial" w:hAnsi="Arial" w:cs="Arial"/>
                <w:sz w:val="20"/>
                <w:szCs w:val="20"/>
              </w:rPr>
              <w:t>existing 48” Larner-Johnson Needle Valve, FCV’s require significant “free air” venting</w:t>
            </w:r>
            <w:r>
              <w:rPr>
                <w:rFonts w:ascii="Arial" w:hAnsi="Arial" w:cs="Arial"/>
                <w:sz w:val="20"/>
                <w:szCs w:val="20"/>
              </w:rPr>
              <w:t xml:space="preserve"> </w:t>
            </w:r>
            <w:r w:rsidRPr="00A32F54">
              <w:rPr>
                <w:rFonts w:ascii="Arial" w:hAnsi="Arial" w:cs="Arial"/>
                <w:sz w:val="20"/>
                <w:szCs w:val="20"/>
              </w:rPr>
              <w:t>behind FCV discharge preferably in “close proximity” to end of FCV to prevent backsplash</w:t>
            </w:r>
            <w:r>
              <w:rPr>
                <w:rFonts w:ascii="Arial" w:hAnsi="Arial" w:cs="Arial"/>
                <w:sz w:val="20"/>
                <w:szCs w:val="20"/>
              </w:rPr>
              <w:t xml:space="preserve"> </w:t>
            </w:r>
            <w:r w:rsidRPr="00A32F54">
              <w:rPr>
                <w:rFonts w:ascii="Arial" w:hAnsi="Arial" w:cs="Arial"/>
                <w:sz w:val="20"/>
                <w:szCs w:val="20"/>
              </w:rPr>
              <w:t>and “flashing”</w:t>
            </w:r>
            <w:r w:rsidR="00566D98" w:rsidRPr="00A32F54">
              <w:rPr>
                <w:rFonts w:ascii="Arial" w:hAnsi="Arial" w:cs="Arial"/>
                <w:sz w:val="20"/>
                <w:szCs w:val="20"/>
              </w:rPr>
              <w:t>/” slapping</w:t>
            </w:r>
            <w:r w:rsidRPr="00A32F54">
              <w:rPr>
                <w:rFonts w:ascii="Arial" w:hAnsi="Arial" w:cs="Arial"/>
                <w:sz w:val="20"/>
                <w:szCs w:val="20"/>
              </w:rPr>
              <w:t>” of discharge. Studies indicate this “free air” venting requirement is</w:t>
            </w:r>
            <w:r>
              <w:rPr>
                <w:rFonts w:ascii="Arial" w:hAnsi="Arial" w:cs="Arial"/>
                <w:sz w:val="20"/>
                <w:szCs w:val="20"/>
              </w:rPr>
              <w:t xml:space="preserve"> </w:t>
            </w:r>
            <w:r w:rsidRPr="00A32F54">
              <w:rPr>
                <w:rFonts w:ascii="Arial" w:hAnsi="Arial" w:cs="Arial"/>
                <w:sz w:val="20"/>
                <w:szCs w:val="20"/>
              </w:rPr>
              <w:t>recommended to be 1-1/2 times nominal diameter of valve in FT squared or 1-1/2 x D2. It is</w:t>
            </w:r>
            <w:r>
              <w:rPr>
                <w:rFonts w:ascii="Arial" w:hAnsi="Arial" w:cs="Arial"/>
                <w:sz w:val="20"/>
                <w:szCs w:val="20"/>
              </w:rPr>
              <w:t xml:space="preserve"> </w:t>
            </w:r>
            <w:r w:rsidRPr="00A32F54">
              <w:rPr>
                <w:rFonts w:ascii="Arial" w:hAnsi="Arial" w:cs="Arial"/>
                <w:sz w:val="20"/>
                <w:szCs w:val="20"/>
              </w:rPr>
              <w:t xml:space="preserve">not clear to us from the </w:t>
            </w:r>
            <w:r>
              <w:rPr>
                <w:rFonts w:ascii="Arial" w:hAnsi="Arial" w:cs="Arial"/>
                <w:sz w:val="20"/>
                <w:szCs w:val="20"/>
              </w:rPr>
              <w:t>drawings</w:t>
            </w:r>
            <w:r w:rsidRPr="00A32F54">
              <w:rPr>
                <w:rFonts w:ascii="Arial" w:hAnsi="Arial" w:cs="Arial"/>
                <w:sz w:val="20"/>
                <w:szCs w:val="20"/>
              </w:rPr>
              <w:t>. that provision for “free air” venting has been made.</w:t>
            </w:r>
          </w:p>
        </w:tc>
        <w:tc>
          <w:tcPr>
            <w:tcW w:w="1291" w:type="pct"/>
          </w:tcPr>
          <w:p w14:paraId="37CA1F4A" w14:textId="096EF5D6" w:rsidR="00BD7F32" w:rsidRPr="00A32F54" w:rsidRDefault="00A02DCB" w:rsidP="00BD7F32">
            <w:pPr>
              <w:rPr>
                <w:rFonts w:ascii="Arial" w:hAnsi="Arial" w:cs="Arial"/>
                <w:sz w:val="20"/>
                <w:szCs w:val="20"/>
              </w:rPr>
            </w:pPr>
            <w:r>
              <w:rPr>
                <w:rFonts w:ascii="Arial" w:hAnsi="Arial" w:cs="Arial"/>
                <w:sz w:val="20"/>
                <w:szCs w:val="20"/>
              </w:rPr>
              <w:t xml:space="preserve">See drawing S-204, Section B, S-205, Section D, S-210, and S-211 for the details of air venting. Tolt Dam is an existing facility </w:t>
            </w:r>
            <w:r w:rsidR="000062FC">
              <w:rPr>
                <w:rFonts w:ascii="Arial" w:hAnsi="Arial" w:cs="Arial"/>
                <w:sz w:val="20"/>
                <w:szCs w:val="20"/>
              </w:rPr>
              <w:t>with limited ability to provide fully “free air” venting</w:t>
            </w:r>
            <w:r w:rsidR="008B2D44">
              <w:rPr>
                <w:rFonts w:ascii="Arial" w:hAnsi="Arial" w:cs="Arial"/>
                <w:sz w:val="20"/>
                <w:szCs w:val="20"/>
              </w:rPr>
              <w:t xml:space="preserve"> as enlargement of the existing access hatch is not possible</w:t>
            </w:r>
            <w:r w:rsidR="000062FC">
              <w:rPr>
                <w:rFonts w:ascii="Arial" w:hAnsi="Arial" w:cs="Arial"/>
                <w:sz w:val="20"/>
                <w:szCs w:val="20"/>
              </w:rPr>
              <w:t xml:space="preserve">. Proponent is encouraged to </w:t>
            </w:r>
            <w:r w:rsidR="008B2D44">
              <w:rPr>
                <w:rFonts w:ascii="Arial" w:hAnsi="Arial" w:cs="Arial"/>
                <w:sz w:val="20"/>
                <w:szCs w:val="20"/>
              </w:rPr>
              <w:t>evaluate the capacity of the proposed venting system for the specific case of air venting of the fixed cone valve at the Tolt Dam</w:t>
            </w:r>
            <w:r w:rsidR="002F4063">
              <w:rPr>
                <w:rFonts w:ascii="Arial" w:hAnsi="Arial" w:cs="Arial"/>
                <w:sz w:val="20"/>
                <w:szCs w:val="20"/>
              </w:rPr>
              <w:t xml:space="preserve"> operating under design conditions provided in Section 1.05</w:t>
            </w:r>
            <w:r w:rsidR="008B2D44">
              <w:rPr>
                <w:rFonts w:ascii="Arial" w:hAnsi="Arial" w:cs="Arial"/>
                <w:sz w:val="20"/>
                <w:szCs w:val="20"/>
              </w:rPr>
              <w:t>.</w:t>
            </w:r>
          </w:p>
        </w:tc>
        <w:tc>
          <w:tcPr>
            <w:tcW w:w="1285" w:type="pct"/>
          </w:tcPr>
          <w:p w14:paraId="601F30A6" w14:textId="77777777" w:rsidR="00BD7F32" w:rsidRPr="00A32F54" w:rsidRDefault="00BD7F32" w:rsidP="00BD7F32">
            <w:pPr>
              <w:rPr>
                <w:rFonts w:ascii="Arial" w:hAnsi="Arial" w:cs="Arial"/>
                <w:sz w:val="20"/>
                <w:szCs w:val="20"/>
              </w:rPr>
            </w:pPr>
          </w:p>
        </w:tc>
      </w:tr>
      <w:tr w:rsidR="00BD7F32" w:rsidRPr="00693F88" w14:paraId="30BE9623" w14:textId="77777777" w:rsidTr="00BD7F32">
        <w:tc>
          <w:tcPr>
            <w:tcW w:w="231" w:type="pct"/>
          </w:tcPr>
          <w:p w14:paraId="6243C89C"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9</w:t>
            </w:r>
          </w:p>
        </w:tc>
        <w:tc>
          <w:tcPr>
            <w:tcW w:w="451" w:type="pct"/>
          </w:tcPr>
          <w:p w14:paraId="5D73EDE6" w14:textId="48C27BC5" w:rsidR="00BD7F32" w:rsidRPr="00693F88" w:rsidRDefault="00A32F54" w:rsidP="00BD7F32">
            <w:pPr>
              <w:jc w:val="center"/>
              <w:rPr>
                <w:rFonts w:ascii="Arial" w:hAnsi="Arial" w:cs="Arial"/>
                <w:sz w:val="20"/>
                <w:szCs w:val="20"/>
              </w:rPr>
            </w:pPr>
            <w:r w:rsidRPr="00A32F54">
              <w:rPr>
                <w:rFonts w:ascii="Arial" w:hAnsi="Arial" w:cs="Arial"/>
                <w:sz w:val="20"/>
                <w:szCs w:val="20"/>
              </w:rPr>
              <w:t>11/07/2019</w:t>
            </w:r>
          </w:p>
        </w:tc>
        <w:tc>
          <w:tcPr>
            <w:tcW w:w="451" w:type="pct"/>
          </w:tcPr>
          <w:p w14:paraId="437A799B" w14:textId="5D9D740A"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4C97FC1C" w14:textId="3E046D3C" w:rsidR="00BD7F32" w:rsidRPr="00A32F54" w:rsidRDefault="00A32F54" w:rsidP="00A32F54">
            <w:pPr>
              <w:rPr>
                <w:rFonts w:ascii="Arial" w:hAnsi="Arial" w:cs="Arial"/>
                <w:sz w:val="20"/>
                <w:szCs w:val="20"/>
              </w:rPr>
            </w:pPr>
            <w:r w:rsidRPr="00A32F54">
              <w:rPr>
                <w:rFonts w:ascii="Arial" w:hAnsi="Arial" w:cs="Arial"/>
                <w:sz w:val="20"/>
                <w:szCs w:val="20"/>
              </w:rPr>
              <w:t>Plan Sheets S-204 &amp; S-205 – Please provide ID of new stainless-steel liner. We normally</w:t>
            </w:r>
            <w:r>
              <w:rPr>
                <w:rFonts w:ascii="Arial" w:hAnsi="Arial" w:cs="Arial"/>
                <w:sz w:val="20"/>
                <w:szCs w:val="20"/>
              </w:rPr>
              <w:t xml:space="preserve"> </w:t>
            </w:r>
            <w:r w:rsidRPr="00A32F54">
              <w:rPr>
                <w:rFonts w:ascii="Arial" w:hAnsi="Arial" w:cs="Arial"/>
                <w:sz w:val="20"/>
                <w:szCs w:val="20"/>
              </w:rPr>
              <w:t>recommend liner ID be 2-1/2 times nominal valve diameter … so, 10’-0”.</w:t>
            </w:r>
          </w:p>
        </w:tc>
        <w:tc>
          <w:tcPr>
            <w:tcW w:w="1291" w:type="pct"/>
          </w:tcPr>
          <w:p w14:paraId="7DAF9EFA" w14:textId="5C7A578D" w:rsidR="00BD7F32" w:rsidRPr="00A32F54" w:rsidRDefault="00A02DCB" w:rsidP="00BD7F32">
            <w:pPr>
              <w:rPr>
                <w:rFonts w:ascii="Arial" w:hAnsi="Arial" w:cs="Arial"/>
                <w:sz w:val="20"/>
                <w:szCs w:val="20"/>
                <w:highlight w:val="yellow"/>
              </w:rPr>
            </w:pPr>
            <w:r w:rsidRPr="00A02DCB">
              <w:rPr>
                <w:rFonts w:ascii="Arial" w:hAnsi="Arial" w:cs="Arial"/>
                <w:sz w:val="20"/>
                <w:szCs w:val="20"/>
              </w:rPr>
              <w:t xml:space="preserve">See drawing S-203, Section A. The liner is </w:t>
            </w:r>
            <w:r w:rsidR="00566D98" w:rsidRPr="00A02DCB">
              <w:rPr>
                <w:rFonts w:ascii="Arial" w:hAnsi="Arial" w:cs="Arial"/>
                <w:sz w:val="20"/>
                <w:szCs w:val="20"/>
              </w:rPr>
              <w:t>111.5-inch</w:t>
            </w:r>
            <w:r w:rsidRPr="00A02DCB">
              <w:rPr>
                <w:rFonts w:ascii="Arial" w:hAnsi="Arial" w:cs="Arial"/>
                <w:sz w:val="20"/>
                <w:szCs w:val="20"/>
              </w:rPr>
              <w:t xml:space="preserve"> internal diameter.</w:t>
            </w:r>
          </w:p>
        </w:tc>
        <w:tc>
          <w:tcPr>
            <w:tcW w:w="1285" w:type="pct"/>
          </w:tcPr>
          <w:p w14:paraId="5572D0BC" w14:textId="77777777" w:rsidR="00BD7F32" w:rsidRPr="00A32F54" w:rsidRDefault="00BD7F32" w:rsidP="00BD7F32">
            <w:pPr>
              <w:rPr>
                <w:rFonts w:ascii="Arial" w:hAnsi="Arial" w:cs="Arial"/>
                <w:sz w:val="20"/>
                <w:szCs w:val="20"/>
              </w:rPr>
            </w:pPr>
          </w:p>
        </w:tc>
      </w:tr>
      <w:tr w:rsidR="00BD7F32" w:rsidRPr="00693F88" w14:paraId="56674B47" w14:textId="77777777" w:rsidTr="00BD7F32">
        <w:tc>
          <w:tcPr>
            <w:tcW w:w="231" w:type="pct"/>
          </w:tcPr>
          <w:p w14:paraId="1A928E64" w14:textId="77777777" w:rsidR="00BD7F32" w:rsidRPr="00693F88" w:rsidRDefault="00BD7F32" w:rsidP="00BD7F32">
            <w:pPr>
              <w:jc w:val="center"/>
              <w:rPr>
                <w:rFonts w:ascii="Arial" w:hAnsi="Arial" w:cs="Arial"/>
                <w:sz w:val="20"/>
                <w:szCs w:val="20"/>
              </w:rPr>
            </w:pPr>
            <w:r w:rsidRPr="00693F88">
              <w:rPr>
                <w:rFonts w:ascii="Arial" w:hAnsi="Arial" w:cs="Arial"/>
                <w:sz w:val="20"/>
                <w:szCs w:val="20"/>
              </w:rPr>
              <w:t>10</w:t>
            </w:r>
          </w:p>
        </w:tc>
        <w:tc>
          <w:tcPr>
            <w:tcW w:w="451" w:type="pct"/>
          </w:tcPr>
          <w:p w14:paraId="036D455C" w14:textId="04969ABA" w:rsidR="00BD7F32" w:rsidRPr="00693F88" w:rsidRDefault="002F4063" w:rsidP="00BD7F32">
            <w:pPr>
              <w:jc w:val="center"/>
              <w:rPr>
                <w:rFonts w:ascii="Arial" w:hAnsi="Arial" w:cs="Arial"/>
                <w:sz w:val="20"/>
                <w:szCs w:val="20"/>
              </w:rPr>
            </w:pPr>
            <w:r w:rsidRPr="00A32F54">
              <w:rPr>
                <w:rFonts w:ascii="Arial" w:hAnsi="Arial" w:cs="Arial"/>
                <w:sz w:val="20"/>
                <w:szCs w:val="20"/>
              </w:rPr>
              <w:t>11/</w:t>
            </w:r>
            <w:r>
              <w:rPr>
                <w:rFonts w:ascii="Arial" w:hAnsi="Arial" w:cs="Arial"/>
                <w:sz w:val="20"/>
                <w:szCs w:val="20"/>
              </w:rPr>
              <w:t>12</w:t>
            </w:r>
            <w:r w:rsidRPr="00A32F54">
              <w:rPr>
                <w:rFonts w:ascii="Arial" w:hAnsi="Arial" w:cs="Arial"/>
                <w:sz w:val="20"/>
                <w:szCs w:val="20"/>
              </w:rPr>
              <w:t>/2019</w:t>
            </w:r>
          </w:p>
        </w:tc>
        <w:tc>
          <w:tcPr>
            <w:tcW w:w="451" w:type="pct"/>
          </w:tcPr>
          <w:p w14:paraId="120A8249" w14:textId="2E968918" w:rsidR="00BD7F32" w:rsidRPr="00693F88" w:rsidRDefault="00793A53" w:rsidP="00BD7F32">
            <w:pPr>
              <w:jc w:val="center"/>
              <w:rPr>
                <w:rFonts w:ascii="Arial" w:hAnsi="Arial" w:cs="Arial"/>
                <w:sz w:val="20"/>
                <w:szCs w:val="20"/>
              </w:rPr>
            </w:pPr>
            <w:r w:rsidRPr="00793A53">
              <w:rPr>
                <w:rFonts w:ascii="Arial" w:hAnsi="Arial" w:cs="Arial"/>
                <w:sz w:val="20"/>
                <w:szCs w:val="20"/>
              </w:rPr>
              <w:t>11/14/2019</w:t>
            </w:r>
          </w:p>
        </w:tc>
        <w:tc>
          <w:tcPr>
            <w:tcW w:w="1291" w:type="pct"/>
          </w:tcPr>
          <w:p w14:paraId="3834F646" w14:textId="195F73FA" w:rsidR="00BD7F32" w:rsidRPr="00A32F54" w:rsidRDefault="002F4063" w:rsidP="00BD7F32">
            <w:pPr>
              <w:rPr>
                <w:rFonts w:ascii="Arial" w:hAnsi="Arial" w:cs="Arial"/>
                <w:sz w:val="20"/>
                <w:szCs w:val="20"/>
              </w:rPr>
            </w:pPr>
            <w:r w:rsidRPr="00DE474A">
              <w:rPr>
                <w:rFonts w:ascii="Arial" w:hAnsi="Arial" w:cs="Arial"/>
                <w:sz w:val="20"/>
                <w:szCs w:val="20"/>
              </w:rPr>
              <w:t>2.03 A. 2. – Will protective covering be provided by others such as installing contractor?</w:t>
            </w:r>
          </w:p>
        </w:tc>
        <w:tc>
          <w:tcPr>
            <w:tcW w:w="1291" w:type="pct"/>
          </w:tcPr>
          <w:p w14:paraId="62D8A768" w14:textId="6CFF9374" w:rsidR="00BD7F32" w:rsidRPr="00A32F54" w:rsidRDefault="002F4063" w:rsidP="00BD7F32">
            <w:pPr>
              <w:rPr>
                <w:rFonts w:ascii="Arial" w:hAnsi="Arial" w:cs="Arial"/>
                <w:sz w:val="20"/>
                <w:szCs w:val="20"/>
              </w:rPr>
            </w:pPr>
            <w:r>
              <w:rPr>
                <w:rFonts w:ascii="Arial" w:hAnsi="Arial" w:cs="Arial"/>
                <w:sz w:val="20"/>
                <w:szCs w:val="20"/>
              </w:rPr>
              <w:t>Protective covering for the hydraulic control system as specified in Section 2.03 A 2 is to be designed and supplied by the proponent.</w:t>
            </w:r>
          </w:p>
        </w:tc>
        <w:tc>
          <w:tcPr>
            <w:tcW w:w="1285" w:type="pct"/>
          </w:tcPr>
          <w:p w14:paraId="2C9B21AA" w14:textId="77777777" w:rsidR="00BD7F32" w:rsidRPr="00A32F54" w:rsidRDefault="00BD7F32" w:rsidP="00BD7F32">
            <w:pPr>
              <w:rPr>
                <w:rFonts w:ascii="Arial" w:hAnsi="Arial" w:cs="Arial"/>
                <w:sz w:val="20"/>
                <w:szCs w:val="20"/>
              </w:rPr>
            </w:pPr>
          </w:p>
        </w:tc>
      </w:tr>
      <w:tr w:rsidR="005C1191" w:rsidRPr="00693F88" w14:paraId="57770422" w14:textId="77777777" w:rsidTr="00BD7F32">
        <w:tc>
          <w:tcPr>
            <w:tcW w:w="231" w:type="pct"/>
          </w:tcPr>
          <w:p w14:paraId="3B909AC5" w14:textId="57921855" w:rsidR="005C1191" w:rsidRPr="00693F88" w:rsidRDefault="001C1D29" w:rsidP="00BD7F32">
            <w:pPr>
              <w:jc w:val="center"/>
              <w:rPr>
                <w:rFonts w:ascii="Arial" w:hAnsi="Arial" w:cs="Arial"/>
                <w:sz w:val="20"/>
                <w:szCs w:val="20"/>
              </w:rPr>
            </w:pPr>
            <w:r>
              <w:rPr>
                <w:rFonts w:ascii="Arial" w:hAnsi="Arial" w:cs="Arial"/>
                <w:sz w:val="20"/>
                <w:szCs w:val="20"/>
              </w:rPr>
              <w:t>11</w:t>
            </w:r>
          </w:p>
        </w:tc>
        <w:tc>
          <w:tcPr>
            <w:tcW w:w="451" w:type="pct"/>
          </w:tcPr>
          <w:p w14:paraId="358E4651" w14:textId="23700D68" w:rsidR="005C1191" w:rsidRPr="00A32F54" w:rsidRDefault="005C1191" w:rsidP="005C1191">
            <w:pPr>
              <w:rPr>
                <w:rFonts w:ascii="Arial" w:hAnsi="Arial" w:cs="Arial"/>
                <w:sz w:val="20"/>
                <w:szCs w:val="20"/>
              </w:rPr>
            </w:pPr>
            <w:r w:rsidRPr="005C1191">
              <w:rPr>
                <w:rFonts w:ascii="Arial" w:hAnsi="Arial" w:cs="Arial"/>
                <w:sz w:val="20"/>
                <w:szCs w:val="20"/>
              </w:rPr>
              <w:t>11/14/2019</w:t>
            </w:r>
          </w:p>
        </w:tc>
        <w:tc>
          <w:tcPr>
            <w:tcW w:w="451" w:type="pct"/>
          </w:tcPr>
          <w:p w14:paraId="2E2C6798" w14:textId="2C1376B6" w:rsidR="005C1191" w:rsidRPr="001C1D29" w:rsidRDefault="001C1D29" w:rsidP="00BD7F32">
            <w:pPr>
              <w:jc w:val="center"/>
              <w:rPr>
                <w:rFonts w:ascii="Arial" w:hAnsi="Arial" w:cs="Arial"/>
                <w:b/>
                <w:bCs/>
                <w:sz w:val="20"/>
                <w:szCs w:val="20"/>
              </w:rPr>
            </w:pPr>
            <w:r w:rsidRPr="001C1D29">
              <w:rPr>
                <w:rFonts w:ascii="Arial" w:hAnsi="Arial" w:cs="Arial"/>
                <w:b/>
                <w:bCs/>
                <w:sz w:val="20"/>
                <w:szCs w:val="20"/>
              </w:rPr>
              <w:t>Answer Pending</w:t>
            </w:r>
          </w:p>
        </w:tc>
        <w:tc>
          <w:tcPr>
            <w:tcW w:w="1291" w:type="pct"/>
          </w:tcPr>
          <w:p w14:paraId="788F07B5" w14:textId="05FC3B47" w:rsidR="005C1191" w:rsidRPr="00DE474A" w:rsidRDefault="005C1191" w:rsidP="00BD7F32">
            <w:pPr>
              <w:rPr>
                <w:rFonts w:ascii="Arial" w:hAnsi="Arial" w:cs="Arial"/>
                <w:sz w:val="20"/>
                <w:szCs w:val="20"/>
              </w:rPr>
            </w:pPr>
            <w:r w:rsidRPr="005C1191">
              <w:rPr>
                <w:rFonts w:ascii="Arial" w:hAnsi="Arial" w:cs="Arial"/>
                <w:sz w:val="20"/>
                <w:szCs w:val="20"/>
              </w:rPr>
              <w:t>Section 35 20 16.1.05.10 states valve “System” shall be capable of being submerged to 100’ for 48 hours.  Does this include the HPU? Does this include electrical control circuitry such as the control cabinet?</w:t>
            </w:r>
          </w:p>
        </w:tc>
        <w:tc>
          <w:tcPr>
            <w:tcW w:w="1291" w:type="pct"/>
          </w:tcPr>
          <w:p w14:paraId="2227B4A0" w14:textId="77777777" w:rsidR="005C1191" w:rsidRDefault="005C1191" w:rsidP="00BD7F32">
            <w:pPr>
              <w:rPr>
                <w:rFonts w:ascii="Arial" w:hAnsi="Arial" w:cs="Arial"/>
                <w:sz w:val="20"/>
                <w:szCs w:val="20"/>
              </w:rPr>
            </w:pPr>
          </w:p>
        </w:tc>
        <w:tc>
          <w:tcPr>
            <w:tcW w:w="1285" w:type="pct"/>
          </w:tcPr>
          <w:p w14:paraId="684919FE" w14:textId="77777777" w:rsidR="005C1191" w:rsidRPr="00A32F54" w:rsidRDefault="005C1191" w:rsidP="00BD7F32">
            <w:pPr>
              <w:rPr>
                <w:rFonts w:ascii="Arial" w:hAnsi="Arial" w:cs="Arial"/>
                <w:sz w:val="20"/>
                <w:szCs w:val="20"/>
              </w:rPr>
            </w:pPr>
          </w:p>
        </w:tc>
      </w:tr>
      <w:tr w:rsidR="005C1191" w:rsidRPr="00693F88" w14:paraId="544C56C0" w14:textId="77777777" w:rsidTr="00BD7F32">
        <w:tc>
          <w:tcPr>
            <w:tcW w:w="231" w:type="pct"/>
          </w:tcPr>
          <w:p w14:paraId="6B350516" w14:textId="45D6F27F" w:rsidR="005C1191" w:rsidRPr="00693F88" w:rsidRDefault="001C1D29" w:rsidP="00BD7F32">
            <w:pPr>
              <w:jc w:val="center"/>
              <w:rPr>
                <w:rFonts w:ascii="Arial" w:hAnsi="Arial" w:cs="Arial"/>
                <w:sz w:val="20"/>
                <w:szCs w:val="20"/>
              </w:rPr>
            </w:pPr>
            <w:r>
              <w:rPr>
                <w:rFonts w:ascii="Arial" w:hAnsi="Arial" w:cs="Arial"/>
                <w:sz w:val="20"/>
                <w:szCs w:val="20"/>
              </w:rPr>
              <w:t>12</w:t>
            </w:r>
          </w:p>
        </w:tc>
        <w:tc>
          <w:tcPr>
            <w:tcW w:w="451" w:type="pct"/>
          </w:tcPr>
          <w:p w14:paraId="6C110943" w14:textId="69D66057" w:rsidR="005C1191" w:rsidRPr="00A32F54" w:rsidRDefault="005C1191" w:rsidP="00BD7F32">
            <w:pPr>
              <w:jc w:val="center"/>
              <w:rPr>
                <w:rFonts w:ascii="Arial" w:hAnsi="Arial" w:cs="Arial"/>
                <w:sz w:val="20"/>
                <w:szCs w:val="20"/>
              </w:rPr>
            </w:pPr>
            <w:r w:rsidRPr="005C1191">
              <w:rPr>
                <w:rFonts w:ascii="Arial" w:hAnsi="Arial" w:cs="Arial"/>
                <w:sz w:val="20"/>
                <w:szCs w:val="20"/>
              </w:rPr>
              <w:t>11/14/2019</w:t>
            </w:r>
          </w:p>
        </w:tc>
        <w:tc>
          <w:tcPr>
            <w:tcW w:w="451" w:type="pct"/>
          </w:tcPr>
          <w:p w14:paraId="649D3B4F" w14:textId="38179CA6" w:rsidR="005C1191" w:rsidRPr="00793A53" w:rsidRDefault="001C1D29" w:rsidP="00BD7F32">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7EF93C28" w14:textId="40AA23A4" w:rsidR="005C1191" w:rsidRPr="005C1191" w:rsidRDefault="005C1191" w:rsidP="00BD7F32">
            <w:pPr>
              <w:rPr>
                <w:rFonts w:ascii="Arial" w:hAnsi="Arial" w:cs="Arial"/>
                <w:sz w:val="20"/>
                <w:szCs w:val="20"/>
              </w:rPr>
            </w:pPr>
            <w:r w:rsidRPr="005C1191">
              <w:rPr>
                <w:rFonts w:ascii="Arial" w:hAnsi="Arial" w:cs="Arial"/>
                <w:sz w:val="20"/>
                <w:szCs w:val="20"/>
              </w:rPr>
              <w:t>Section 35 20 16.2.01.H is not clear. Is the valve supplier to supply the gasket, isolating sleeves, and washer while the installation contractor will supply the bolts/studs and nuts? Drawing S-207 conflicts, indicates only that the isolating gasket is supplied by the Valve Contractor.</w:t>
            </w:r>
          </w:p>
        </w:tc>
        <w:tc>
          <w:tcPr>
            <w:tcW w:w="1291" w:type="pct"/>
          </w:tcPr>
          <w:p w14:paraId="3A85D167" w14:textId="77777777" w:rsidR="005C1191" w:rsidRDefault="005C1191" w:rsidP="00BD7F32">
            <w:pPr>
              <w:rPr>
                <w:rFonts w:ascii="Arial" w:hAnsi="Arial" w:cs="Arial"/>
                <w:sz w:val="20"/>
                <w:szCs w:val="20"/>
              </w:rPr>
            </w:pPr>
          </w:p>
        </w:tc>
        <w:tc>
          <w:tcPr>
            <w:tcW w:w="1285" w:type="pct"/>
          </w:tcPr>
          <w:p w14:paraId="3ABF3476" w14:textId="77777777" w:rsidR="005C1191" w:rsidRPr="00A32F54" w:rsidRDefault="005C1191" w:rsidP="00BD7F32">
            <w:pPr>
              <w:rPr>
                <w:rFonts w:ascii="Arial" w:hAnsi="Arial" w:cs="Arial"/>
                <w:sz w:val="20"/>
                <w:szCs w:val="20"/>
              </w:rPr>
            </w:pPr>
          </w:p>
        </w:tc>
      </w:tr>
      <w:tr w:rsidR="005C1191" w:rsidRPr="00693F88" w14:paraId="0FA96E3D" w14:textId="77777777" w:rsidTr="00BD7F32">
        <w:tc>
          <w:tcPr>
            <w:tcW w:w="231" w:type="pct"/>
          </w:tcPr>
          <w:p w14:paraId="55841703" w14:textId="477DF1C4" w:rsidR="005C1191" w:rsidRPr="00693F88" w:rsidRDefault="001C1D29" w:rsidP="00BD7F32">
            <w:pPr>
              <w:jc w:val="center"/>
              <w:rPr>
                <w:rFonts w:ascii="Arial" w:hAnsi="Arial" w:cs="Arial"/>
                <w:sz w:val="20"/>
                <w:szCs w:val="20"/>
              </w:rPr>
            </w:pPr>
            <w:r>
              <w:rPr>
                <w:rFonts w:ascii="Arial" w:hAnsi="Arial" w:cs="Arial"/>
                <w:sz w:val="20"/>
                <w:szCs w:val="20"/>
              </w:rPr>
              <w:lastRenderedPageBreak/>
              <w:t>13</w:t>
            </w:r>
          </w:p>
        </w:tc>
        <w:tc>
          <w:tcPr>
            <w:tcW w:w="451" w:type="pct"/>
          </w:tcPr>
          <w:p w14:paraId="4773B005" w14:textId="1D1854E3" w:rsidR="005C1191" w:rsidRPr="00A32F54" w:rsidRDefault="005C1191" w:rsidP="00BD7F32">
            <w:pPr>
              <w:jc w:val="center"/>
              <w:rPr>
                <w:rFonts w:ascii="Arial" w:hAnsi="Arial" w:cs="Arial"/>
                <w:sz w:val="20"/>
                <w:szCs w:val="20"/>
              </w:rPr>
            </w:pPr>
            <w:r w:rsidRPr="005C1191">
              <w:rPr>
                <w:rFonts w:ascii="Arial" w:hAnsi="Arial" w:cs="Arial"/>
                <w:sz w:val="20"/>
                <w:szCs w:val="20"/>
              </w:rPr>
              <w:t>11/14/2019</w:t>
            </w:r>
          </w:p>
        </w:tc>
        <w:tc>
          <w:tcPr>
            <w:tcW w:w="451" w:type="pct"/>
          </w:tcPr>
          <w:p w14:paraId="3C34992B" w14:textId="7CE14FF6" w:rsidR="005C1191" w:rsidRPr="00793A53" w:rsidRDefault="001C1D29" w:rsidP="00BD7F32">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48E4C8EF" w14:textId="643E46FC" w:rsidR="005C1191" w:rsidRPr="005C1191" w:rsidRDefault="005C1191" w:rsidP="00BD7F32">
            <w:pPr>
              <w:rPr>
                <w:rFonts w:ascii="Arial" w:hAnsi="Arial" w:cs="Arial"/>
                <w:sz w:val="20"/>
                <w:szCs w:val="20"/>
              </w:rPr>
            </w:pPr>
            <w:r w:rsidRPr="005C1191">
              <w:rPr>
                <w:rFonts w:ascii="Arial" w:hAnsi="Arial" w:cs="Arial"/>
                <w:sz w:val="20"/>
                <w:szCs w:val="20"/>
              </w:rPr>
              <w:t>Please clarify if the Valve Contractor or Installation Contractor is responsible for supply of the outlet liner, extension spool, spare flange, pipe, and anchorage. If Valve Contractor is responsi</w:t>
            </w:r>
            <w:r>
              <w:rPr>
                <w:rFonts w:ascii="Arial" w:hAnsi="Arial" w:cs="Arial"/>
                <w:sz w:val="20"/>
                <w:szCs w:val="20"/>
              </w:rPr>
              <w:t>b</w:t>
            </w:r>
            <w:r w:rsidRPr="005C1191">
              <w:rPr>
                <w:rFonts w:ascii="Arial" w:hAnsi="Arial" w:cs="Arial"/>
                <w:sz w:val="20"/>
                <w:szCs w:val="20"/>
              </w:rPr>
              <w:t>le, please provide detailed requirements.</w:t>
            </w:r>
          </w:p>
        </w:tc>
        <w:tc>
          <w:tcPr>
            <w:tcW w:w="1291" w:type="pct"/>
          </w:tcPr>
          <w:p w14:paraId="0BFD4927" w14:textId="77777777" w:rsidR="005C1191" w:rsidRDefault="005C1191" w:rsidP="00BD7F32">
            <w:pPr>
              <w:rPr>
                <w:rFonts w:ascii="Arial" w:hAnsi="Arial" w:cs="Arial"/>
                <w:sz w:val="20"/>
                <w:szCs w:val="20"/>
              </w:rPr>
            </w:pPr>
          </w:p>
        </w:tc>
        <w:tc>
          <w:tcPr>
            <w:tcW w:w="1285" w:type="pct"/>
          </w:tcPr>
          <w:p w14:paraId="0EEC05DB" w14:textId="77777777" w:rsidR="005C1191" w:rsidRPr="00A32F54" w:rsidRDefault="005C1191" w:rsidP="00BD7F32">
            <w:pPr>
              <w:rPr>
                <w:rFonts w:ascii="Arial" w:hAnsi="Arial" w:cs="Arial"/>
                <w:sz w:val="20"/>
                <w:szCs w:val="20"/>
              </w:rPr>
            </w:pPr>
          </w:p>
        </w:tc>
      </w:tr>
      <w:tr w:rsidR="005C1191" w:rsidRPr="00693F88" w14:paraId="33999147" w14:textId="77777777" w:rsidTr="00BD7F32">
        <w:tc>
          <w:tcPr>
            <w:tcW w:w="231" w:type="pct"/>
          </w:tcPr>
          <w:p w14:paraId="444170E5" w14:textId="2954298D" w:rsidR="005C1191" w:rsidRPr="00693F88" w:rsidRDefault="001C1D29" w:rsidP="00BD7F32">
            <w:pPr>
              <w:jc w:val="center"/>
              <w:rPr>
                <w:rFonts w:ascii="Arial" w:hAnsi="Arial" w:cs="Arial"/>
                <w:sz w:val="20"/>
                <w:szCs w:val="20"/>
              </w:rPr>
            </w:pPr>
            <w:r>
              <w:rPr>
                <w:rFonts w:ascii="Arial" w:hAnsi="Arial" w:cs="Arial"/>
                <w:sz w:val="20"/>
                <w:szCs w:val="20"/>
              </w:rPr>
              <w:t>14</w:t>
            </w:r>
          </w:p>
        </w:tc>
        <w:tc>
          <w:tcPr>
            <w:tcW w:w="451" w:type="pct"/>
          </w:tcPr>
          <w:p w14:paraId="1D94D171" w14:textId="7BEEFA11" w:rsidR="005C1191" w:rsidRPr="00A32F54" w:rsidRDefault="005C1191" w:rsidP="00BD7F32">
            <w:pPr>
              <w:jc w:val="center"/>
              <w:rPr>
                <w:rFonts w:ascii="Arial" w:hAnsi="Arial" w:cs="Arial"/>
                <w:sz w:val="20"/>
                <w:szCs w:val="20"/>
              </w:rPr>
            </w:pPr>
            <w:r w:rsidRPr="005C1191">
              <w:rPr>
                <w:rFonts w:ascii="Arial" w:hAnsi="Arial" w:cs="Arial"/>
                <w:sz w:val="20"/>
                <w:szCs w:val="20"/>
              </w:rPr>
              <w:t>11/14/2019</w:t>
            </w:r>
          </w:p>
        </w:tc>
        <w:tc>
          <w:tcPr>
            <w:tcW w:w="451" w:type="pct"/>
          </w:tcPr>
          <w:p w14:paraId="7133A421" w14:textId="6AC59164" w:rsidR="005C1191" w:rsidRPr="00793A53" w:rsidRDefault="001C1D29" w:rsidP="00BD7F32">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652C7C26" w14:textId="69EF34A8" w:rsidR="005C1191" w:rsidRPr="005C1191" w:rsidRDefault="005C1191" w:rsidP="00BD7F32">
            <w:pPr>
              <w:rPr>
                <w:rFonts w:ascii="Arial" w:hAnsi="Arial" w:cs="Arial"/>
                <w:sz w:val="20"/>
                <w:szCs w:val="20"/>
              </w:rPr>
            </w:pPr>
            <w:r w:rsidRPr="005C1191">
              <w:rPr>
                <w:rFonts w:ascii="Arial" w:hAnsi="Arial" w:cs="Arial"/>
                <w:sz w:val="20"/>
                <w:szCs w:val="20"/>
              </w:rPr>
              <w:t>Section 35 20 16.2.02.B.4 appears to be an error – the paragraph ends in a partial sentence.</w:t>
            </w:r>
          </w:p>
        </w:tc>
        <w:tc>
          <w:tcPr>
            <w:tcW w:w="1291" w:type="pct"/>
          </w:tcPr>
          <w:p w14:paraId="76A3A8E0" w14:textId="77777777" w:rsidR="005C1191" w:rsidRDefault="005C1191" w:rsidP="00BD7F32">
            <w:pPr>
              <w:rPr>
                <w:rFonts w:ascii="Arial" w:hAnsi="Arial" w:cs="Arial"/>
                <w:sz w:val="20"/>
                <w:szCs w:val="20"/>
              </w:rPr>
            </w:pPr>
          </w:p>
        </w:tc>
        <w:tc>
          <w:tcPr>
            <w:tcW w:w="1285" w:type="pct"/>
          </w:tcPr>
          <w:p w14:paraId="7F9288DD" w14:textId="77777777" w:rsidR="005C1191" w:rsidRPr="00A32F54" w:rsidRDefault="005C1191" w:rsidP="00BD7F32">
            <w:pPr>
              <w:rPr>
                <w:rFonts w:ascii="Arial" w:hAnsi="Arial" w:cs="Arial"/>
                <w:sz w:val="20"/>
                <w:szCs w:val="20"/>
              </w:rPr>
            </w:pPr>
          </w:p>
        </w:tc>
      </w:tr>
      <w:tr w:rsidR="005C1191" w:rsidRPr="00693F88" w14:paraId="1F31F720" w14:textId="77777777" w:rsidTr="00BD7F32">
        <w:tc>
          <w:tcPr>
            <w:tcW w:w="231" w:type="pct"/>
          </w:tcPr>
          <w:p w14:paraId="6BE126DD" w14:textId="29794BBC" w:rsidR="005C1191" w:rsidRPr="00693F88" w:rsidRDefault="001C1D29" w:rsidP="00BD7F32">
            <w:pPr>
              <w:jc w:val="center"/>
              <w:rPr>
                <w:rFonts w:ascii="Arial" w:hAnsi="Arial" w:cs="Arial"/>
                <w:sz w:val="20"/>
                <w:szCs w:val="20"/>
              </w:rPr>
            </w:pPr>
            <w:r>
              <w:rPr>
                <w:rFonts w:ascii="Arial" w:hAnsi="Arial" w:cs="Arial"/>
                <w:sz w:val="20"/>
                <w:szCs w:val="20"/>
              </w:rPr>
              <w:t>15</w:t>
            </w:r>
          </w:p>
        </w:tc>
        <w:tc>
          <w:tcPr>
            <w:tcW w:w="451" w:type="pct"/>
          </w:tcPr>
          <w:p w14:paraId="379CDEDA" w14:textId="2892D365" w:rsidR="005C1191" w:rsidRPr="00A32F54" w:rsidRDefault="005C1191" w:rsidP="00BD7F32">
            <w:pPr>
              <w:jc w:val="center"/>
              <w:rPr>
                <w:rFonts w:ascii="Arial" w:hAnsi="Arial" w:cs="Arial"/>
                <w:sz w:val="20"/>
                <w:szCs w:val="20"/>
              </w:rPr>
            </w:pPr>
            <w:r w:rsidRPr="005C1191">
              <w:rPr>
                <w:rFonts w:ascii="Arial" w:hAnsi="Arial" w:cs="Arial"/>
                <w:sz w:val="20"/>
                <w:szCs w:val="20"/>
              </w:rPr>
              <w:t>11/14/2019</w:t>
            </w:r>
          </w:p>
        </w:tc>
        <w:tc>
          <w:tcPr>
            <w:tcW w:w="451" w:type="pct"/>
          </w:tcPr>
          <w:p w14:paraId="181E20B2" w14:textId="3867A170" w:rsidR="005C1191" w:rsidRPr="00793A53" w:rsidRDefault="001C1D29" w:rsidP="00BD7F32">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56D91BCA" w14:textId="75D34347" w:rsidR="005C1191" w:rsidRPr="005C1191" w:rsidRDefault="005C1191" w:rsidP="00BD7F32">
            <w:pPr>
              <w:rPr>
                <w:rFonts w:ascii="Arial" w:hAnsi="Arial" w:cs="Arial"/>
                <w:sz w:val="20"/>
                <w:szCs w:val="20"/>
              </w:rPr>
            </w:pPr>
            <w:r w:rsidRPr="005C1191">
              <w:rPr>
                <w:rFonts w:ascii="Arial" w:hAnsi="Arial" w:cs="Arial"/>
                <w:sz w:val="20"/>
                <w:szCs w:val="20"/>
              </w:rPr>
              <w:t>Section 35 20 16.2.03.E.6 states that all components to provide a complete system “shall be provided”. In several places elsewhere it states the installation contractor is to provide piping between the HPU and valve.  Is the intention that the valve contractor will supply all components between the HPU and valve including isolation valves, high/low point release valves, and all other product EXCLUDING piping? For example, is the valve contractor responsible for supplying hydraulic piping anchors and fittings such as elbows used for the piping between the HPU and valve?</w:t>
            </w:r>
          </w:p>
        </w:tc>
        <w:tc>
          <w:tcPr>
            <w:tcW w:w="1291" w:type="pct"/>
          </w:tcPr>
          <w:p w14:paraId="620BE707" w14:textId="77777777" w:rsidR="005C1191" w:rsidRDefault="005C1191" w:rsidP="00BD7F32">
            <w:pPr>
              <w:rPr>
                <w:rFonts w:ascii="Arial" w:hAnsi="Arial" w:cs="Arial"/>
                <w:sz w:val="20"/>
                <w:szCs w:val="20"/>
              </w:rPr>
            </w:pPr>
          </w:p>
        </w:tc>
        <w:tc>
          <w:tcPr>
            <w:tcW w:w="1285" w:type="pct"/>
          </w:tcPr>
          <w:p w14:paraId="7DAADECA" w14:textId="77777777" w:rsidR="005C1191" w:rsidRPr="00A32F54" w:rsidRDefault="005C1191" w:rsidP="00BD7F32">
            <w:pPr>
              <w:rPr>
                <w:rFonts w:ascii="Arial" w:hAnsi="Arial" w:cs="Arial"/>
                <w:sz w:val="20"/>
                <w:szCs w:val="20"/>
              </w:rPr>
            </w:pPr>
          </w:p>
        </w:tc>
      </w:tr>
      <w:tr w:rsidR="005C1191" w:rsidRPr="00693F88" w14:paraId="1C8C6C97" w14:textId="77777777" w:rsidTr="00BD7F32">
        <w:tc>
          <w:tcPr>
            <w:tcW w:w="231" w:type="pct"/>
          </w:tcPr>
          <w:p w14:paraId="19DEF083" w14:textId="1DF189FF" w:rsidR="005C1191" w:rsidRPr="00693F88" w:rsidRDefault="001C1D29" w:rsidP="005C1191">
            <w:pPr>
              <w:jc w:val="center"/>
              <w:rPr>
                <w:rFonts w:ascii="Arial" w:hAnsi="Arial" w:cs="Arial"/>
                <w:sz w:val="20"/>
                <w:szCs w:val="20"/>
              </w:rPr>
            </w:pPr>
            <w:r>
              <w:rPr>
                <w:rFonts w:ascii="Arial" w:hAnsi="Arial" w:cs="Arial"/>
                <w:sz w:val="20"/>
                <w:szCs w:val="20"/>
              </w:rPr>
              <w:t>16</w:t>
            </w:r>
          </w:p>
        </w:tc>
        <w:tc>
          <w:tcPr>
            <w:tcW w:w="451" w:type="pct"/>
          </w:tcPr>
          <w:p w14:paraId="18BD99F9" w14:textId="0C9DFDF6"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3CC8AAC4" w14:textId="7AA9261E"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794BFBB7" w14:textId="5B66044C" w:rsidR="005C1191" w:rsidRPr="005C1191" w:rsidRDefault="005C1191" w:rsidP="005C1191">
            <w:pPr>
              <w:rPr>
                <w:rFonts w:ascii="Arial" w:hAnsi="Arial" w:cs="Arial"/>
                <w:sz w:val="20"/>
                <w:szCs w:val="20"/>
              </w:rPr>
            </w:pPr>
            <w:r w:rsidRPr="005C1191">
              <w:rPr>
                <w:rFonts w:ascii="Arial" w:hAnsi="Arial" w:cs="Arial"/>
                <w:sz w:val="20"/>
                <w:szCs w:val="20"/>
              </w:rPr>
              <w:t>May the local control cabinet and motor control cabinet be combined into one enclosure if deemed necessary/possible?</w:t>
            </w:r>
          </w:p>
        </w:tc>
        <w:tc>
          <w:tcPr>
            <w:tcW w:w="1291" w:type="pct"/>
          </w:tcPr>
          <w:p w14:paraId="73048580" w14:textId="77777777" w:rsidR="005C1191" w:rsidRDefault="005C1191" w:rsidP="005C1191">
            <w:pPr>
              <w:rPr>
                <w:rFonts w:ascii="Arial" w:hAnsi="Arial" w:cs="Arial"/>
                <w:sz w:val="20"/>
                <w:szCs w:val="20"/>
              </w:rPr>
            </w:pPr>
          </w:p>
        </w:tc>
        <w:tc>
          <w:tcPr>
            <w:tcW w:w="1285" w:type="pct"/>
          </w:tcPr>
          <w:p w14:paraId="0F82809B" w14:textId="77777777" w:rsidR="005C1191" w:rsidRPr="00A32F54" w:rsidRDefault="005C1191" w:rsidP="005C1191">
            <w:pPr>
              <w:rPr>
                <w:rFonts w:ascii="Arial" w:hAnsi="Arial" w:cs="Arial"/>
                <w:sz w:val="20"/>
                <w:szCs w:val="20"/>
              </w:rPr>
            </w:pPr>
          </w:p>
        </w:tc>
      </w:tr>
      <w:tr w:rsidR="005C1191" w:rsidRPr="00693F88" w14:paraId="45544E0F" w14:textId="77777777" w:rsidTr="00BD7F32">
        <w:tc>
          <w:tcPr>
            <w:tcW w:w="231" w:type="pct"/>
          </w:tcPr>
          <w:p w14:paraId="55972F26" w14:textId="1B378D9E" w:rsidR="005C1191" w:rsidRPr="00693F88" w:rsidRDefault="001C1D29" w:rsidP="005C1191">
            <w:pPr>
              <w:jc w:val="center"/>
              <w:rPr>
                <w:rFonts w:ascii="Arial" w:hAnsi="Arial" w:cs="Arial"/>
                <w:sz w:val="20"/>
                <w:szCs w:val="20"/>
              </w:rPr>
            </w:pPr>
            <w:r>
              <w:rPr>
                <w:rFonts w:ascii="Arial" w:hAnsi="Arial" w:cs="Arial"/>
                <w:sz w:val="20"/>
                <w:szCs w:val="20"/>
              </w:rPr>
              <w:t>17</w:t>
            </w:r>
          </w:p>
        </w:tc>
        <w:tc>
          <w:tcPr>
            <w:tcW w:w="451" w:type="pct"/>
          </w:tcPr>
          <w:p w14:paraId="23F8A59D" w14:textId="0459666B"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14F64597" w14:textId="46284456"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46D86542" w14:textId="020788BF" w:rsidR="005C1191" w:rsidRPr="005C1191" w:rsidRDefault="005C1191" w:rsidP="005C1191">
            <w:pPr>
              <w:rPr>
                <w:rFonts w:ascii="Arial" w:hAnsi="Arial" w:cs="Arial"/>
                <w:sz w:val="20"/>
                <w:szCs w:val="20"/>
              </w:rPr>
            </w:pPr>
            <w:r w:rsidRPr="005C1191">
              <w:rPr>
                <w:rFonts w:ascii="Arial" w:hAnsi="Arial" w:cs="Arial"/>
                <w:sz w:val="20"/>
                <w:szCs w:val="20"/>
              </w:rPr>
              <w:t>Referring to Section 35 20 16.2.03.G.11., states that cables to external devices shall be provided by “contractor”.  Is the contractor being referenced the valve contractor or the installation contractor?</w:t>
            </w:r>
          </w:p>
        </w:tc>
        <w:tc>
          <w:tcPr>
            <w:tcW w:w="1291" w:type="pct"/>
          </w:tcPr>
          <w:p w14:paraId="76B15FAD" w14:textId="77777777" w:rsidR="005C1191" w:rsidRDefault="005C1191" w:rsidP="005C1191">
            <w:pPr>
              <w:rPr>
                <w:rFonts w:ascii="Arial" w:hAnsi="Arial" w:cs="Arial"/>
                <w:sz w:val="20"/>
                <w:szCs w:val="20"/>
              </w:rPr>
            </w:pPr>
          </w:p>
        </w:tc>
        <w:tc>
          <w:tcPr>
            <w:tcW w:w="1285" w:type="pct"/>
          </w:tcPr>
          <w:p w14:paraId="0DB073BA" w14:textId="77777777" w:rsidR="005C1191" w:rsidRPr="00A32F54" w:rsidRDefault="005C1191" w:rsidP="005C1191">
            <w:pPr>
              <w:rPr>
                <w:rFonts w:ascii="Arial" w:hAnsi="Arial" w:cs="Arial"/>
                <w:sz w:val="20"/>
                <w:szCs w:val="20"/>
              </w:rPr>
            </w:pPr>
          </w:p>
        </w:tc>
      </w:tr>
      <w:tr w:rsidR="005C1191" w:rsidRPr="00693F88" w14:paraId="01BB9A19" w14:textId="77777777" w:rsidTr="00BD7F32">
        <w:tc>
          <w:tcPr>
            <w:tcW w:w="231" w:type="pct"/>
          </w:tcPr>
          <w:p w14:paraId="49D2DFBF" w14:textId="74FC99C8" w:rsidR="005C1191" w:rsidRPr="00693F88" w:rsidRDefault="001C1D29" w:rsidP="005C1191">
            <w:pPr>
              <w:jc w:val="center"/>
              <w:rPr>
                <w:rFonts w:ascii="Arial" w:hAnsi="Arial" w:cs="Arial"/>
                <w:sz w:val="20"/>
                <w:szCs w:val="20"/>
              </w:rPr>
            </w:pPr>
            <w:r>
              <w:rPr>
                <w:rFonts w:ascii="Arial" w:hAnsi="Arial" w:cs="Arial"/>
                <w:sz w:val="20"/>
                <w:szCs w:val="20"/>
              </w:rPr>
              <w:t>18</w:t>
            </w:r>
          </w:p>
        </w:tc>
        <w:tc>
          <w:tcPr>
            <w:tcW w:w="451" w:type="pct"/>
          </w:tcPr>
          <w:p w14:paraId="39DE831F" w14:textId="750CF108"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285902D9" w14:textId="11D25F67"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79CEF65A" w14:textId="3D04670F" w:rsidR="005C1191" w:rsidRPr="005C1191" w:rsidRDefault="005C1191" w:rsidP="005C1191">
            <w:pPr>
              <w:rPr>
                <w:rFonts w:ascii="Arial" w:hAnsi="Arial" w:cs="Arial"/>
                <w:sz w:val="20"/>
                <w:szCs w:val="20"/>
              </w:rPr>
            </w:pPr>
            <w:r w:rsidRPr="005C1191">
              <w:rPr>
                <w:rFonts w:ascii="Arial" w:hAnsi="Arial" w:cs="Arial"/>
                <w:sz w:val="20"/>
                <w:szCs w:val="20"/>
              </w:rPr>
              <w:t xml:space="preserve">Regarding inspection, witness testing, and other visits by Owner to the Valve </w:t>
            </w:r>
            <w:r w:rsidRPr="005C1191">
              <w:rPr>
                <w:rFonts w:ascii="Arial" w:hAnsi="Arial" w:cs="Arial"/>
                <w:sz w:val="20"/>
                <w:szCs w:val="20"/>
              </w:rPr>
              <w:lastRenderedPageBreak/>
              <w:t>contractor’s facility – who is responsible for travel costs?</w:t>
            </w:r>
          </w:p>
        </w:tc>
        <w:tc>
          <w:tcPr>
            <w:tcW w:w="1291" w:type="pct"/>
          </w:tcPr>
          <w:p w14:paraId="13CDCB64" w14:textId="77777777" w:rsidR="005C1191" w:rsidRDefault="005C1191" w:rsidP="005C1191">
            <w:pPr>
              <w:rPr>
                <w:rFonts w:ascii="Arial" w:hAnsi="Arial" w:cs="Arial"/>
                <w:sz w:val="20"/>
                <w:szCs w:val="20"/>
              </w:rPr>
            </w:pPr>
          </w:p>
        </w:tc>
        <w:tc>
          <w:tcPr>
            <w:tcW w:w="1285" w:type="pct"/>
          </w:tcPr>
          <w:p w14:paraId="590075FF" w14:textId="77777777" w:rsidR="005C1191" w:rsidRPr="00A32F54" w:rsidRDefault="005C1191" w:rsidP="005C1191">
            <w:pPr>
              <w:rPr>
                <w:rFonts w:ascii="Arial" w:hAnsi="Arial" w:cs="Arial"/>
                <w:sz w:val="20"/>
                <w:szCs w:val="20"/>
              </w:rPr>
            </w:pPr>
          </w:p>
        </w:tc>
      </w:tr>
      <w:tr w:rsidR="005C1191" w:rsidRPr="00693F88" w14:paraId="60D3D13A" w14:textId="77777777" w:rsidTr="00BD7F32">
        <w:tc>
          <w:tcPr>
            <w:tcW w:w="231" w:type="pct"/>
          </w:tcPr>
          <w:p w14:paraId="26894EEA" w14:textId="58088C7F" w:rsidR="005C1191" w:rsidRPr="00693F88" w:rsidRDefault="001C1D29" w:rsidP="005C1191">
            <w:pPr>
              <w:jc w:val="center"/>
              <w:rPr>
                <w:rFonts w:ascii="Arial" w:hAnsi="Arial" w:cs="Arial"/>
                <w:sz w:val="20"/>
                <w:szCs w:val="20"/>
              </w:rPr>
            </w:pPr>
            <w:r>
              <w:rPr>
                <w:rFonts w:ascii="Arial" w:hAnsi="Arial" w:cs="Arial"/>
                <w:sz w:val="20"/>
                <w:szCs w:val="20"/>
              </w:rPr>
              <w:t>19</w:t>
            </w:r>
          </w:p>
        </w:tc>
        <w:tc>
          <w:tcPr>
            <w:tcW w:w="451" w:type="pct"/>
          </w:tcPr>
          <w:p w14:paraId="7CA51BE7" w14:textId="1AC02007"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652C7642" w14:textId="5B3A6386"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75C1C03A" w14:textId="027AE9C9" w:rsidR="005C1191" w:rsidRPr="005C1191" w:rsidRDefault="005C1191" w:rsidP="005C1191">
            <w:pPr>
              <w:rPr>
                <w:rFonts w:ascii="Arial" w:hAnsi="Arial" w:cs="Arial"/>
                <w:sz w:val="20"/>
                <w:szCs w:val="20"/>
              </w:rPr>
            </w:pPr>
            <w:r w:rsidRPr="005C1191">
              <w:rPr>
                <w:rFonts w:ascii="Arial" w:hAnsi="Arial" w:cs="Arial"/>
                <w:sz w:val="20"/>
                <w:szCs w:val="20"/>
              </w:rPr>
              <w:t>For the shell testing in 35 20 16.3.03.B.2 may special accommodations be made during testing to overcome/eliminate the allowable seat leakage during the valve body pressure test or is leakage past the seat is allowed during the 60-minute hydrostatic shell test?</w:t>
            </w:r>
          </w:p>
        </w:tc>
        <w:tc>
          <w:tcPr>
            <w:tcW w:w="1291" w:type="pct"/>
          </w:tcPr>
          <w:p w14:paraId="24F873BF" w14:textId="77777777" w:rsidR="005C1191" w:rsidRDefault="005C1191" w:rsidP="005C1191">
            <w:pPr>
              <w:rPr>
                <w:rFonts w:ascii="Arial" w:hAnsi="Arial" w:cs="Arial"/>
                <w:sz w:val="20"/>
                <w:szCs w:val="20"/>
              </w:rPr>
            </w:pPr>
          </w:p>
        </w:tc>
        <w:tc>
          <w:tcPr>
            <w:tcW w:w="1285" w:type="pct"/>
          </w:tcPr>
          <w:p w14:paraId="6A7D37D5" w14:textId="77777777" w:rsidR="005C1191" w:rsidRPr="00A32F54" w:rsidRDefault="005C1191" w:rsidP="005C1191">
            <w:pPr>
              <w:rPr>
                <w:rFonts w:ascii="Arial" w:hAnsi="Arial" w:cs="Arial"/>
                <w:sz w:val="20"/>
                <w:szCs w:val="20"/>
              </w:rPr>
            </w:pPr>
          </w:p>
        </w:tc>
      </w:tr>
      <w:tr w:rsidR="005C1191" w:rsidRPr="00693F88" w14:paraId="04EE106D" w14:textId="77777777" w:rsidTr="00BD7F32">
        <w:tc>
          <w:tcPr>
            <w:tcW w:w="231" w:type="pct"/>
          </w:tcPr>
          <w:p w14:paraId="7A7CB9D7" w14:textId="152A7B61" w:rsidR="005C1191" w:rsidRPr="00693F88" w:rsidRDefault="001C1D29" w:rsidP="005C1191">
            <w:pPr>
              <w:jc w:val="center"/>
              <w:rPr>
                <w:rFonts w:ascii="Arial" w:hAnsi="Arial" w:cs="Arial"/>
                <w:sz w:val="20"/>
                <w:szCs w:val="20"/>
              </w:rPr>
            </w:pPr>
            <w:r>
              <w:rPr>
                <w:rFonts w:ascii="Arial" w:hAnsi="Arial" w:cs="Arial"/>
                <w:sz w:val="20"/>
                <w:szCs w:val="20"/>
              </w:rPr>
              <w:t>20</w:t>
            </w:r>
          </w:p>
        </w:tc>
        <w:tc>
          <w:tcPr>
            <w:tcW w:w="451" w:type="pct"/>
          </w:tcPr>
          <w:p w14:paraId="1DF26ECF" w14:textId="1AABAF49"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7891BEDB" w14:textId="6A08FED8"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0A53D897" w14:textId="5ECA1901" w:rsidR="005C1191" w:rsidRPr="005C1191" w:rsidRDefault="005C1191" w:rsidP="005C1191">
            <w:pPr>
              <w:rPr>
                <w:rFonts w:ascii="Arial" w:hAnsi="Arial" w:cs="Arial"/>
                <w:sz w:val="20"/>
                <w:szCs w:val="20"/>
              </w:rPr>
            </w:pPr>
            <w:r w:rsidRPr="005C1191">
              <w:rPr>
                <w:rFonts w:ascii="Arial" w:hAnsi="Arial" w:cs="Arial"/>
                <w:sz w:val="20"/>
                <w:szCs w:val="20"/>
              </w:rPr>
              <w:t>Referring to Section 35 20 16.3.04.3 &amp; 4, Is it required that the Valve Contractor provide personnel to be permanently on site during installation by the Installation Contractor or is it suitable for the Valve Contractor to provide site visits as deemed necessary and other written and verbal guidance to the Installation Contractor?</w:t>
            </w:r>
          </w:p>
        </w:tc>
        <w:tc>
          <w:tcPr>
            <w:tcW w:w="1291" w:type="pct"/>
          </w:tcPr>
          <w:p w14:paraId="4DA8C43D" w14:textId="77777777" w:rsidR="005C1191" w:rsidRDefault="005C1191" w:rsidP="005C1191">
            <w:pPr>
              <w:rPr>
                <w:rFonts w:ascii="Arial" w:hAnsi="Arial" w:cs="Arial"/>
                <w:sz w:val="20"/>
                <w:szCs w:val="20"/>
              </w:rPr>
            </w:pPr>
          </w:p>
        </w:tc>
        <w:tc>
          <w:tcPr>
            <w:tcW w:w="1285" w:type="pct"/>
          </w:tcPr>
          <w:p w14:paraId="5E7D3884" w14:textId="77777777" w:rsidR="005C1191" w:rsidRPr="00A32F54" w:rsidRDefault="005C1191" w:rsidP="005C1191">
            <w:pPr>
              <w:rPr>
                <w:rFonts w:ascii="Arial" w:hAnsi="Arial" w:cs="Arial"/>
                <w:sz w:val="20"/>
                <w:szCs w:val="20"/>
              </w:rPr>
            </w:pPr>
          </w:p>
        </w:tc>
      </w:tr>
      <w:tr w:rsidR="005C1191" w:rsidRPr="00693F88" w14:paraId="53E6B606" w14:textId="77777777" w:rsidTr="00BD7F32">
        <w:tc>
          <w:tcPr>
            <w:tcW w:w="231" w:type="pct"/>
          </w:tcPr>
          <w:p w14:paraId="5F0078DB" w14:textId="42ADD428" w:rsidR="005C1191" w:rsidRPr="00693F88" w:rsidRDefault="001C1D29" w:rsidP="005C1191">
            <w:pPr>
              <w:jc w:val="center"/>
              <w:rPr>
                <w:rFonts w:ascii="Arial" w:hAnsi="Arial" w:cs="Arial"/>
                <w:sz w:val="20"/>
                <w:szCs w:val="20"/>
              </w:rPr>
            </w:pPr>
            <w:r>
              <w:rPr>
                <w:rFonts w:ascii="Arial" w:hAnsi="Arial" w:cs="Arial"/>
                <w:sz w:val="20"/>
                <w:szCs w:val="20"/>
              </w:rPr>
              <w:t>21</w:t>
            </w:r>
          </w:p>
        </w:tc>
        <w:tc>
          <w:tcPr>
            <w:tcW w:w="451" w:type="pct"/>
          </w:tcPr>
          <w:p w14:paraId="302951EF" w14:textId="0B2874E4"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3C3918A3" w14:textId="76258546"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757304BF" w14:textId="2115F6B7" w:rsidR="005C1191" w:rsidRPr="005C1191" w:rsidRDefault="005C1191" w:rsidP="005C1191">
            <w:pPr>
              <w:rPr>
                <w:rFonts w:ascii="Arial" w:hAnsi="Arial" w:cs="Arial"/>
                <w:sz w:val="20"/>
                <w:szCs w:val="20"/>
              </w:rPr>
            </w:pPr>
            <w:r w:rsidRPr="005C1191">
              <w:rPr>
                <w:rFonts w:ascii="Arial" w:hAnsi="Arial" w:cs="Arial"/>
                <w:sz w:val="20"/>
                <w:szCs w:val="20"/>
              </w:rPr>
              <w:t>Specifications and ITB do not clearly address payment schedule; Is final acceptance and warranty commencement upon delivery/pickup of valve or upon installation and testing by Installation Contractor? During the pre-bid meeting it was stated after installation however this is not stated in the contract documents and the Contract terms #3 state the term of the contract expires 60 days after delivery of goods.</w:t>
            </w:r>
          </w:p>
        </w:tc>
        <w:tc>
          <w:tcPr>
            <w:tcW w:w="1291" w:type="pct"/>
          </w:tcPr>
          <w:p w14:paraId="588A03EE" w14:textId="77777777" w:rsidR="005C1191" w:rsidRDefault="005C1191" w:rsidP="005C1191">
            <w:pPr>
              <w:rPr>
                <w:rFonts w:ascii="Arial" w:hAnsi="Arial" w:cs="Arial"/>
                <w:sz w:val="20"/>
                <w:szCs w:val="20"/>
              </w:rPr>
            </w:pPr>
          </w:p>
        </w:tc>
        <w:tc>
          <w:tcPr>
            <w:tcW w:w="1285" w:type="pct"/>
          </w:tcPr>
          <w:p w14:paraId="41C594B5" w14:textId="77777777" w:rsidR="005C1191" w:rsidRPr="00A32F54" w:rsidRDefault="005C1191" w:rsidP="005C1191">
            <w:pPr>
              <w:rPr>
                <w:rFonts w:ascii="Arial" w:hAnsi="Arial" w:cs="Arial"/>
                <w:sz w:val="20"/>
                <w:szCs w:val="20"/>
              </w:rPr>
            </w:pPr>
          </w:p>
        </w:tc>
      </w:tr>
      <w:tr w:rsidR="005C1191" w:rsidRPr="00693F88" w14:paraId="1316D6F7" w14:textId="77777777" w:rsidTr="00BD7F32">
        <w:tc>
          <w:tcPr>
            <w:tcW w:w="231" w:type="pct"/>
          </w:tcPr>
          <w:p w14:paraId="4491CE42" w14:textId="18A41E74" w:rsidR="005C1191" w:rsidRPr="00693F88" w:rsidRDefault="001C1D29" w:rsidP="005C1191">
            <w:pPr>
              <w:jc w:val="center"/>
              <w:rPr>
                <w:rFonts w:ascii="Arial" w:hAnsi="Arial" w:cs="Arial"/>
                <w:sz w:val="20"/>
                <w:szCs w:val="20"/>
              </w:rPr>
            </w:pPr>
            <w:r>
              <w:rPr>
                <w:rFonts w:ascii="Arial" w:hAnsi="Arial" w:cs="Arial"/>
                <w:sz w:val="20"/>
                <w:szCs w:val="20"/>
              </w:rPr>
              <w:t>22</w:t>
            </w:r>
          </w:p>
        </w:tc>
        <w:tc>
          <w:tcPr>
            <w:tcW w:w="451" w:type="pct"/>
          </w:tcPr>
          <w:p w14:paraId="28A280EF" w14:textId="33184D94"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7D392B2F" w14:textId="1876C259"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153AAC87" w14:textId="2FDE2055" w:rsidR="005C1191" w:rsidRPr="005C1191" w:rsidRDefault="005C1191" w:rsidP="005C1191">
            <w:pPr>
              <w:rPr>
                <w:rFonts w:ascii="Arial" w:hAnsi="Arial" w:cs="Arial"/>
                <w:sz w:val="20"/>
                <w:szCs w:val="20"/>
              </w:rPr>
            </w:pPr>
            <w:r w:rsidRPr="005C1191">
              <w:rPr>
                <w:rFonts w:ascii="Arial" w:hAnsi="Arial" w:cs="Arial"/>
                <w:sz w:val="20"/>
                <w:szCs w:val="20"/>
              </w:rPr>
              <w:t>Regarding the Installation Contract, when is the ITB for this service expected to be publicly posted, what is the estimated award date, and the estimated duration of that contract?</w:t>
            </w:r>
          </w:p>
        </w:tc>
        <w:tc>
          <w:tcPr>
            <w:tcW w:w="1291" w:type="pct"/>
          </w:tcPr>
          <w:p w14:paraId="06F973AA" w14:textId="77777777" w:rsidR="005C1191" w:rsidRDefault="005C1191" w:rsidP="005C1191">
            <w:pPr>
              <w:rPr>
                <w:rFonts w:ascii="Arial" w:hAnsi="Arial" w:cs="Arial"/>
                <w:sz w:val="20"/>
                <w:szCs w:val="20"/>
              </w:rPr>
            </w:pPr>
          </w:p>
        </w:tc>
        <w:tc>
          <w:tcPr>
            <w:tcW w:w="1285" w:type="pct"/>
          </w:tcPr>
          <w:p w14:paraId="2AD6F236" w14:textId="77777777" w:rsidR="005C1191" w:rsidRPr="00A32F54" w:rsidRDefault="005C1191" w:rsidP="005C1191">
            <w:pPr>
              <w:rPr>
                <w:rFonts w:ascii="Arial" w:hAnsi="Arial" w:cs="Arial"/>
                <w:sz w:val="20"/>
                <w:szCs w:val="20"/>
              </w:rPr>
            </w:pPr>
          </w:p>
        </w:tc>
      </w:tr>
      <w:tr w:rsidR="005C1191" w:rsidRPr="00693F88" w14:paraId="1ACBABCB" w14:textId="77777777" w:rsidTr="00BD7F32">
        <w:tc>
          <w:tcPr>
            <w:tcW w:w="231" w:type="pct"/>
          </w:tcPr>
          <w:p w14:paraId="4FD4F1BE" w14:textId="54426AC3" w:rsidR="005C1191" w:rsidRPr="00693F88" w:rsidRDefault="001C1D29" w:rsidP="005C1191">
            <w:pPr>
              <w:jc w:val="center"/>
              <w:rPr>
                <w:rFonts w:ascii="Arial" w:hAnsi="Arial" w:cs="Arial"/>
                <w:sz w:val="20"/>
                <w:szCs w:val="20"/>
              </w:rPr>
            </w:pPr>
            <w:r>
              <w:rPr>
                <w:rFonts w:ascii="Arial" w:hAnsi="Arial" w:cs="Arial"/>
                <w:sz w:val="20"/>
                <w:szCs w:val="20"/>
              </w:rPr>
              <w:t>23</w:t>
            </w:r>
          </w:p>
        </w:tc>
        <w:tc>
          <w:tcPr>
            <w:tcW w:w="451" w:type="pct"/>
          </w:tcPr>
          <w:p w14:paraId="374AEC87" w14:textId="622EF526" w:rsidR="005C1191" w:rsidRPr="00A32F54" w:rsidRDefault="005C1191" w:rsidP="005C1191">
            <w:pPr>
              <w:jc w:val="center"/>
              <w:rPr>
                <w:rFonts w:ascii="Arial" w:hAnsi="Arial" w:cs="Arial"/>
                <w:sz w:val="20"/>
                <w:szCs w:val="20"/>
              </w:rPr>
            </w:pPr>
            <w:r w:rsidRPr="00793A53">
              <w:rPr>
                <w:rFonts w:ascii="Arial" w:hAnsi="Arial" w:cs="Arial"/>
                <w:sz w:val="20"/>
                <w:szCs w:val="20"/>
              </w:rPr>
              <w:t>11/14/2019</w:t>
            </w:r>
          </w:p>
        </w:tc>
        <w:tc>
          <w:tcPr>
            <w:tcW w:w="451" w:type="pct"/>
          </w:tcPr>
          <w:p w14:paraId="5060BD1A" w14:textId="1F0A83CF" w:rsidR="005C1191"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2A4361EB" w14:textId="4AFEA3F6" w:rsidR="005C1191" w:rsidRPr="005C1191" w:rsidRDefault="005C1191" w:rsidP="005C1191">
            <w:pPr>
              <w:rPr>
                <w:rFonts w:ascii="Arial" w:hAnsi="Arial" w:cs="Arial"/>
                <w:sz w:val="20"/>
                <w:szCs w:val="20"/>
              </w:rPr>
            </w:pPr>
            <w:r w:rsidRPr="005C1191">
              <w:rPr>
                <w:rFonts w:ascii="Arial" w:hAnsi="Arial" w:cs="Arial"/>
                <w:sz w:val="20"/>
                <w:szCs w:val="20"/>
              </w:rPr>
              <w:t xml:space="preserve">The ITB and specifications outline that the City “has the right to” pick up the </w:t>
            </w:r>
            <w:r w:rsidRPr="005C1191">
              <w:rPr>
                <w:rFonts w:ascii="Arial" w:hAnsi="Arial" w:cs="Arial"/>
                <w:sz w:val="20"/>
                <w:szCs w:val="20"/>
              </w:rPr>
              <w:lastRenderedPageBreak/>
              <w:t>Valve at the local warehouse, but do not require it.  The ITB and bid sheet only addresses that the Bidder is responsible for shipping and delivery to the local warehouse.  Please clarify if the City will be responsible for all shipping and delivery charges from the local warehouse if they request delivery by means other than pickup or fail to release and pick up the valve before the duration of the 24 months storage term expires.</w:t>
            </w:r>
          </w:p>
        </w:tc>
        <w:tc>
          <w:tcPr>
            <w:tcW w:w="1291" w:type="pct"/>
          </w:tcPr>
          <w:p w14:paraId="7610352E" w14:textId="77777777" w:rsidR="005C1191" w:rsidRDefault="005C1191" w:rsidP="005C1191">
            <w:pPr>
              <w:rPr>
                <w:rFonts w:ascii="Arial" w:hAnsi="Arial" w:cs="Arial"/>
                <w:sz w:val="20"/>
                <w:szCs w:val="20"/>
              </w:rPr>
            </w:pPr>
          </w:p>
        </w:tc>
        <w:tc>
          <w:tcPr>
            <w:tcW w:w="1285" w:type="pct"/>
          </w:tcPr>
          <w:p w14:paraId="66D52A7B" w14:textId="77777777" w:rsidR="005C1191" w:rsidRPr="00A32F54" w:rsidRDefault="005C1191" w:rsidP="005C1191">
            <w:pPr>
              <w:rPr>
                <w:rFonts w:ascii="Arial" w:hAnsi="Arial" w:cs="Arial"/>
                <w:sz w:val="20"/>
                <w:szCs w:val="20"/>
              </w:rPr>
            </w:pPr>
          </w:p>
        </w:tc>
      </w:tr>
      <w:tr w:rsidR="001C1D29" w:rsidRPr="00693F88" w14:paraId="7ECF65D2" w14:textId="77777777" w:rsidTr="00BD7F32">
        <w:tc>
          <w:tcPr>
            <w:tcW w:w="231" w:type="pct"/>
          </w:tcPr>
          <w:p w14:paraId="0A314849" w14:textId="0253FCEB" w:rsidR="001C1D29" w:rsidRPr="00693F88" w:rsidRDefault="001C1D29" w:rsidP="005C1191">
            <w:pPr>
              <w:jc w:val="center"/>
              <w:rPr>
                <w:rFonts w:ascii="Arial" w:hAnsi="Arial" w:cs="Arial"/>
                <w:sz w:val="20"/>
                <w:szCs w:val="20"/>
              </w:rPr>
            </w:pPr>
            <w:r>
              <w:rPr>
                <w:rFonts w:ascii="Arial" w:hAnsi="Arial" w:cs="Arial"/>
                <w:sz w:val="20"/>
                <w:szCs w:val="20"/>
              </w:rPr>
              <w:t>24</w:t>
            </w:r>
          </w:p>
        </w:tc>
        <w:tc>
          <w:tcPr>
            <w:tcW w:w="451" w:type="pct"/>
          </w:tcPr>
          <w:p w14:paraId="1FAEC015" w14:textId="6D81FE67" w:rsidR="001C1D29" w:rsidRPr="00793A53" w:rsidRDefault="001C1D29" w:rsidP="005C1191">
            <w:pPr>
              <w:jc w:val="center"/>
              <w:rPr>
                <w:rFonts w:ascii="Arial" w:hAnsi="Arial" w:cs="Arial"/>
                <w:sz w:val="20"/>
                <w:szCs w:val="20"/>
              </w:rPr>
            </w:pPr>
            <w:r w:rsidRPr="00793A53">
              <w:rPr>
                <w:rFonts w:ascii="Arial" w:hAnsi="Arial" w:cs="Arial"/>
                <w:sz w:val="20"/>
                <w:szCs w:val="20"/>
              </w:rPr>
              <w:t>11/14/201</w:t>
            </w:r>
            <w:r>
              <w:rPr>
                <w:rFonts w:ascii="Arial" w:hAnsi="Arial" w:cs="Arial"/>
                <w:sz w:val="20"/>
                <w:szCs w:val="20"/>
              </w:rPr>
              <w:t>9</w:t>
            </w:r>
          </w:p>
        </w:tc>
        <w:tc>
          <w:tcPr>
            <w:tcW w:w="451" w:type="pct"/>
          </w:tcPr>
          <w:p w14:paraId="0E0BBBE0" w14:textId="716F6DDE" w:rsidR="001C1D29"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73333678" w14:textId="7861ADB5" w:rsidR="001C1D29" w:rsidRPr="005C1191" w:rsidRDefault="001C1D29" w:rsidP="005C1191">
            <w:pPr>
              <w:rPr>
                <w:rFonts w:ascii="Arial" w:hAnsi="Arial" w:cs="Arial"/>
                <w:sz w:val="20"/>
                <w:szCs w:val="20"/>
              </w:rPr>
            </w:pPr>
            <w:r w:rsidRPr="001C1D29">
              <w:rPr>
                <w:rFonts w:ascii="Arial" w:hAnsi="Arial" w:cs="Arial"/>
                <w:sz w:val="20"/>
                <w:szCs w:val="20"/>
              </w:rPr>
              <w:t>Please address what will happen if the City fails to release and pick up the valve from the local warehouse after the duration of the 24 months storage term.</w:t>
            </w:r>
          </w:p>
        </w:tc>
        <w:tc>
          <w:tcPr>
            <w:tcW w:w="1291" w:type="pct"/>
          </w:tcPr>
          <w:p w14:paraId="0EBD9F58" w14:textId="77777777" w:rsidR="001C1D29" w:rsidRDefault="001C1D29" w:rsidP="005C1191">
            <w:pPr>
              <w:rPr>
                <w:rFonts w:ascii="Arial" w:hAnsi="Arial" w:cs="Arial"/>
                <w:sz w:val="20"/>
                <w:szCs w:val="20"/>
              </w:rPr>
            </w:pPr>
          </w:p>
        </w:tc>
        <w:tc>
          <w:tcPr>
            <w:tcW w:w="1285" w:type="pct"/>
          </w:tcPr>
          <w:p w14:paraId="1B96AF4A" w14:textId="77777777" w:rsidR="001C1D29" w:rsidRPr="00A32F54" w:rsidRDefault="001C1D29" w:rsidP="005C1191">
            <w:pPr>
              <w:rPr>
                <w:rFonts w:ascii="Arial" w:hAnsi="Arial" w:cs="Arial"/>
                <w:sz w:val="20"/>
                <w:szCs w:val="20"/>
              </w:rPr>
            </w:pPr>
          </w:p>
        </w:tc>
      </w:tr>
      <w:tr w:rsidR="001C1D29" w:rsidRPr="00693F88" w14:paraId="48852789" w14:textId="77777777" w:rsidTr="00BD7F32">
        <w:tc>
          <w:tcPr>
            <w:tcW w:w="231" w:type="pct"/>
          </w:tcPr>
          <w:p w14:paraId="19B7886A" w14:textId="6E3A97F0" w:rsidR="001C1D29" w:rsidRPr="00693F88" w:rsidRDefault="001C1D29" w:rsidP="005C1191">
            <w:pPr>
              <w:jc w:val="center"/>
              <w:rPr>
                <w:rFonts w:ascii="Arial" w:hAnsi="Arial" w:cs="Arial"/>
                <w:sz w:val="20"/>
                <w:szCs w:val="20"/>
              </w:rPr>
            </w:pPr>
            <w:r>
              <w:rPr>
                <w:rFonts w:ascii="Arial" w:hAnsi="Arial" w:cs="Arial"/>
                <w:sz w:val="20"/>
                <w:szCs w:val="20"/>
              </w:rPr>
              <w:t>25</w:t>
            </w:r>
          </w:p>
        </w:tc>
        <w:tc>
          <w:tcPr>
            <w:tcW w:w="451" w:type="pct"/>
          </w:tcPr>
          <w:p w14:paraId="30F8F764" w14:textId="399D95A0" w:rsidR="001C1D29" w:rsidRPr="00793A53" w:rsidRDefault="001C1D29" w:rsidP="005C1191">
            <w:pPr>
              <w:jc w:val="center"/>
              <w:rPr>
                <w:rFonts w:ascii="Arial" w:hAnsi="Arial" w:cs="Arial"/>
                <w:sz w:val="20"/>
                <w:szCs w:val="20"/>
              </w:rPr>
            </w:pPr>
            <w:r w:rsidRPr="00793A53">
              <w:rPr>
                <w:rFonts w:ascii="Arial" w:hAnsi="Arial" w:cs="Arial"/>
                <w:sz w:val="20"/>
                <w:szCs w:val="20"/>
              </w:rPr>
              <w:t>11/14/201</w:t>
            </w:r>
            <w:r>
              <w:rPr>
                <w:rFonts w:ascii="Arial" w:hAnsi="Arial" w:cs="Arial"/>
                <w:sz w:val="20"/>
                <w:szCs w:val="20"/>
              </w:rPr>
              <w:t>9</w:t>
            </w:r>
          </w:p>
        </w:tc>
        <w:tc>
          <w:tcPr>
            <w:tcW w:w="451" w:type="pct"/>
          </w:tcPr>
          <w:p w14:paraId="5A378999" w14:textId="5AD6DD66" w:rsidR="001C1D29" w:rsidRPr="00793A53" w:rsidRDefault="001C1D29" w:rsidP="005C1191">
            <w:pPr>
              <w:jc w:val="center"/>
              <w:rPr>
                <w:rFonts w:ascii="Arial" w:hAnsi="Arial" w:cs="Arial"/>
                <w:sz w:val="20"/>
                <w:szCs w:val="20"/>
              </w:rPr>
            </w:pPr>
            <w:r w:rsidRPr="001C1D29">
              <w:rPr>
                <w:rFonts w:ascii="Arial" w:hAnsi="Arial" w:cs="Arial"/>
                <w:b/>
                <w:bCs/>
                <w:sz w:val="20"/>
                <w:szCs w:val="20"/>
              </w:rPr>
              <w:t>Answer Pending</w:t>
            </w:r>
          </w:p>
        </w:tc>
        <w:tc>
          <w:tcPr>
            <w:tcW w:w="1291" w:type="pct"/>
          </w:tcPr>
          <w:p w14:paraId="1FA69D5B" w14:textId="4FD921A9" w:rsidR="001C1D29" w:rsidRPr="005C1191" w:rsidRDefault="001C1D29" w:rsidP="005C1191">
            <w:pPr>
              <w:rPr>
                <w:rFonts w:ascii="Arial" w:hAnsi="Arial" w:cs="Arial"/>
                <w:sz w:val="20"/>
                <w:szCs w:val="20"/>
              </w:rPr>
            </w:pPr>
            <w:r w:rsidRPr="001C1D29">
              <w:rPr>
                <w:rFonts w:ascii="Arial" w:hAnsi="Arial" w:cs="Arial"/>
                <w:sz w:val="20"/>
                <w:szCs w:val="20"/>
              </w:rPr>
              <w:t>It appears that all product delivery and installation assistance services have an address in Duvall, WA that appears to be outside of any city limits in an unincorporated portion of King County, WA. Please confirm that no deliveries or installation assistance services are required within the statutory city limits of Seattle, and therefore a business license in the City of Seattle is not necessary.</w:t>
            </w:r>
          </w:p>
        </w:tc>
        <w:tc>
          <w:tcPr>
            <w:tcW w:w="1291" w:type="pct"/>
          </w:tcPr>
          <w:p w14:paraId="55EF7FAD" w14:textId="77777777" w:rsidR="001C1D29" w:rsidRDefault="001C1D29" w:rsidP="005C1191">
            <w:pPr>
              <w:rPr>
                <w:rFonts w:ascii="Arial" w:hAnsi="Arial" w:cs="Arial"/>
                <w:sz w:val="20"/>
                <w:szCs w:val="20"/>
              </w:rPr>
            </w:pPr>
          </w:p>
        </w:tc>
        <w:tc>
          <w:tcPr>
            <w:tcW w:w="1285" w:type="pct"/>
          </w:tcPr>
          <w:p w14:paraId="600204F5" w14:textId="77777777" w:rsidR="001C1D29" w:rsidRPr="00A32F54" w:rsidRDefault="001C1D29" w:rsidP="005C1191">
            <w:pPr>
              <w:rPr>
                <w:rFonts w:ascii="Arial" w:hAnsi="Arial" w:cs="Arial"/>
                <w:sz w:val="20"/>
                <w:szCs w:val="20"/>
              </w:rPr>
            </w:pPr>
          </w:p>
        </w:tc>
      </w:tr>
    </w:tbl>
    <w:p w14:paraId="53BFB86F" w14:textId="77777777" w:rsidR="00BD7F32" w:rsidRPr="00693F88" w:rsidRDefault="00BD7F32" w:rsidP="00466F5B">
      <w:pPr>
        <w:rPr>
          <w:rFonts w:ascii="Arial" w:hAnsi="Arial" w:cs="Arial"/>
          <w:sz w:val="20"/>
          <w:szCs w:val="20"/>
        </w:rPr>
      </w:pPr>
    </w:p>
    <w:sectPr w:rsidR="00BD7F32" w:rsidRPr="00693F88" w:rsidSect="00FA72A8">
      <w:headerReference w:type="default" r:id="rId8"/>
      <w:footerReference w:type="default" r:id="rId9"/>
      <w:pgSz w:w="15840" w:h="12240" w:orient="landscape"/>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FEDB1" w14:textId="77777777" w:rsidR="00CB3096" w:rsidRDefault="00CB3096">
      <w:r>
        <w:separator/>
      </w:r>
    </w:p>
  </w:endnote>
  <w:endnote w:type="continuationSeparator" w:id="0">
    <w:p w14:paraId="64A783B1" w14:textId="77777777" w:rsidR="00CB3096" w:rsidRDefault="00CB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97402" w14:textId="77777777" w:rsidR="00693F88" w:rsidRPr="00E84ED2" w:rsidRDefault="00693F88" w:rsidP="00E84ED2">
    <w:pPr>
      <w:pStyle w:val="Footer"/>
      <w:rPr>
        <w:rFonts w:ascii="Arial" w:hAnsi="Arial" w:cs="Arial"/>
        <w:sz w:val="20"/>
        <w:szCs w:val="20"/>
      </w:rPr>
    </w:pPr>
    <w:r>
      <w:tab/>
    </w:r>
    <w:r>
      <w:tab/>
    </w:r>
    <w:r w:rsidRPr="00E84ED2">
      <w:rPr>
        <w:rFonts w:ascii="Arial" w:hAnsi="Arial" w:cs="Arial"/>
        <w:sz w:val="20"/>
        <w:szCs w:val="20"/>
      </w:rPr>
      <w:t xml:space="preserve">Page </w:t>
    </w:r>
    <w:r w:rsidRPr="00E84ED2">
      <w:rPr>
        <w:rFonts w:ascii="Arial" w:hAnsi="Arial" w:cs="Arial"/>
        <w:sz w:val="20"/>
        <w:szCs w:val="20"/>
      </w:rPr>
      <w:fldChar w:fldCharType="begin"/>
    </w:r>
    <w:r w:rsidRPr="00E84ED2">
      <w:rPr>
        <w:rFonts w:ascii="Arial" w:hAnsi="Arial" w:cs="Arial"/>
        <w:sz w:val="20"/>
        <w:szCs w:val="20"/>
      </w:rPr>
      <w:instrText xml:space="preserve"> PAGE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r w:rsidRPr="00E84ED2">
      <w:rPr>
        <w:rFonts w:ascii="Arial" w:hAnsi="Arial" w:cs="Arial"/>
        <w:sz w:val="20"/>
        <w:szCs w:val="20"/>
      </w:rPr>
      <w:t xml:space="preserve"> of </w:t>
    </w:r>
    <w:r w:rsidRPr="00E84ED2">
      <w:rPr>
        <w:rFonts w:ascii="Arial" w:hAnsi="Arial" w:cs="Arial"/>
        <w:sz w:val="20"/>
        <w:szCs w:val="20"/>
      </w:rPr>
      <w:fldChar w:fldCharType="begin"/>
    </w:r>
    <w:r w:rsidRPr="00E84ED2">
      <w:rPr>
        <w:rFonts w:ascii="Arial" w:hAnsi="Arial" w:cs="Arial"/>
        <w:sz w:val="20"/>
        <w:szCs w:val="20"/>
      </w:rPr>
      <w:instrText xml:space="preserve"> NUMPAGES </w:instrText>
    </w:r>
    <w:r w:rsidRPr="00E84ED2">
      <w:rPr>
        <w:rFonts w:ascii="Arial" w:hAnsi="Arial" w:cs="Arial"/>
        <w:sz w:val="20"/>
        <w:szCs w:val="20"/>
      </w:rPr>
      <w:fldChar w:fldCharType="separate"/>
    </w:r>
    <w:r w:rsidR="00D53979">
      <w:rPr>
        <w:rFonts w:ascii="Arial" w:hAnsi="Arial" w:cs="Arial"/>
        <w:noProof/>
        <w:sz w:val="20"/>
        <w:szCs w:val="20"/>
      </w:rPr>
      <w:t>1</w:t>
    </w:r>
    <w:r w:rsidRPr="00E84ED2">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E695F7" w14:textId="77777777" w:rsidR="00CB3096" w:rsidRDefault="00CB3096">
      <w:r>
        <w:separator/>
      </w:r>
    </w:p>
  </w:footnote>
  <w:footnote w:type="continuationSeparator" w:id="0">
    <w:p w14:paraId="762EC5D8" w14:textId="77777777" w:rsidR="00CB3096" w:rsidRDefault="00CB3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9E836" w14:textId="77777777" w:rsidR="008A68D1" w:rsidRDefault="00693F88" w:rsidP="00BE1B4A">
    <w:pPr>
      <w:pStyle w:val="Header"/>
      <w:jc w:val="center"/>
      <w:rPr>
        <w:rFonts w:ascii="Arial" w:hAnsi="Arial" w:cs="Arial"/>
      </w:rPr>
    </w:pPr>
    <w:r w:rsidRPr="00A81D96">
      <w:rPr>
        <w:rFonts w:ascii="Arial" w:hAnsi="Arial" w:cs="Arial"/>
      </w:rPr>
      <w:t xml:space="preserve">City of Seattle </w:t>
    </w:r>
    <w:r>
      <w:rPr>
        <w:rFonts w:ascii="Arial" w:hAnsi="Arial" w:cs="Arial"/>
      </w:rPr>
      <w:t xml:space="preserve">Invitation to Bid </w:t>
    </w:r>
  </w:p>
  <w:p w14:paraId="376E6404" w14:textId="77777777" w:rsidR="00693F88" w:rsidRPr="00E84ED2" w:rsidRDefault="00693F88" w:rsidP="00BE1B4A">
    <w:pPr>
      <w:pStyle w:val="Header"/>
      <w:jc w:val="center"/>
      <w:rPr>
        <w:rFonts w:ascii="Arial" w:hAnsi="Arial" w:cs="Arial"/>
        <w:sz w:val="28"/>
        <w:szCs w:val="28"/>
      </w:rPr>
    </w:pPr>
    <w:r w:rsidRPr="00E84ED2">
      <w:rPr>
        <w:rFonts w:ascii="Arial" w:hAnsi="Arial" w:cs="Arial"/>
        <w:sz w:val="28"/>
        <w:szCs w:val="28"/>
      </w:rPr>
      <w:t xml:space="preserve">Addendum </w:t>
    </w:r>
  </w:p>
  <w:p w14:paraId="20FFC5CC" w14:textId="58B348D8" w:rsidR="00693F88" w:rsidRDefault="008A68D1" w:rsidP="00BE1B4A">
    <w:pPr>
      <w:pStyle w:val="Header"/>
      <w:jc w:val="center"/>
      <w:rPr>
        <w:rFonts w:ascii="Arial" w:hAnsi="Arial" w:cs="Arial"/>
        <w:b/>
        <w:sz w:val="22"/>
        <w:szCs w:val="22"/>
      </w:rPr>
    </w:pPr>
    <w:r>
      <w:rPr>
        <w:rFonts w:ascii="Arial" w:hAnsi="Arial" w:cs="Arial"/>
        <w:b/>
        <w:sz w:val="22"/>
        <w:szCs w:val="22"/>
      </w:rPr>
      <w:t>Updated on:</w:t>
    </w:r>
    <w:r w:rsidR="00566D98">
      <w:rPr>
        <w:rFonts w:ascii="Arial" w:hAnsi="Arial" w:cs="Arial"/>
        <w:b/>
        <w:sz w:val="22"/>
        <w:szCs w:val="22"/>
      </w:rPr>
      <w:t xml:space="preserve"> 11/14/2019</w:t>
    </w:r>
  </w:p>
  <w:p w14:paraId="0F53DC82" w14:textId="77777777" w:rsidR="00693F88" w:rsidRPr="00000549" w:rsidRDefault="00693F88" w:rsidP="00A81D9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07864"/>
    <w:multiLevelType w:val="hybridMultilevel"/>
    <w:tmpl w:val="DFAC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804B89"/>
    <w:multiLevelType w:val="hybridMultilevel"/>
    <w:tmpl w:val="3E047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2E2"/>
    <w:rsid w:val="00000549"/>
    <w:rsid w:val="000062FC"/>
    <w:rsid w:val="00023305"/>
    <w:rsid w:val="00025D6B"/>
    <w:rsid w:val="0004305A"/>
    <w:rsid w:val="0005531B"/>
    <w:rsid w:val="00061E52"/>
    <w:rsid w:val="000677A0"/>
    <w:rsid w:val="00094B91"/>
    <w:rsid w:val="000B137C"/>
    <w:rsid w:val="000E077F"/>
    <w:rsid w:val="000E7F68"/>
    <w:rsid w:val="001000F5"/>
    <w:rsid w:val="00120B72"/>
    <w:rsid w:val="00131AA4"/>
    <w:rsid w:val="00150B2C"/>
    <w:rsid w:val="00186F2A"/>
    <w:rsid w:val="001C1D29"/>
    <w:rsid w:val="001D4189"/>
    <w:rsid w:val="00200720"/>
    <w:rsid w:val="00245FEF"/>
    <w:rsid w:val="002533F5"/>
    <w:rsid w:val="0026446C"/>
    <w:rsid w:val="00275A4B"/>
    <w:rsid w:val="00290C7A"/>
    <w:rsid w:val="002A1E61"/>
    <w:rsid w:val="002A74FC"/>
    <w:rsid w:val="002B7D87"/>
    <w:rsid w:val="002D28F5"/>
    <w:rsid w:val="002E5AA1"/>
    <w:rsid w:val="002F4063"/>
    <w:rsid w:val="00302C4D"/>
    <w:rsid w:val="003161EA"/>
    <w:rsid w:val="00321AF2"/>
    <w:rsid w:val="00323247"/>
    <w:rsid w:val="00325AAB"/>
    <w:rsid w:val="003336C4"/>
    <w:rsid w:val="003601BC"/>
    <w:rsid w:val="0036172D"/>
    <w:rsid w:val="003A61A6"/>
    <w:rsid w:val="003B7598"/>
    <w:rsid w:val="003C3907"/>
    <w:rsid w:val="003D0889"/>
    <w:rsid w:val="003E1144"/>
    <w:rsid w:val="003F23C3"/>
    <w:rsid w:val="00400E1B"/>
    <w:rsid w:val="00413081"/>
    <w:rsid w:val="00414759"/>
    <w:rsid w:val="00415172"/>
    <w:rsid w:val="004158DE"/>
    <w:rsid w:val="00465E1E"/>
    <w:rsid w:val="00466F5B"/>
    <w:rsid w:val="00483BDD"/>
    <w:rsid w:val="004852AB"/>
    <w:rsid w:val="004B0230"/>
    <w:rsid w:val="004D506B"/>
    <w:rsid w:val="004F35FE"/>
    <w:rsid w:val="00507248"/>
    <w:rsid w:val="0051212B"/>
    <w:rsid w:val="0051500C"/>
    <w:rsid w:val="005153A1"/>
    <w:rsid w:val="00526DCE"/>
    <w:rsid w:val="00527C8A"/>
    <w:rsid w:val="00531837"/>
    <w:rsid w:val="0056229C"/>
    <w:rsid w:val="00566D98"/>
    <w:rsid w:val="00580909"/>
    <w:rsid w:val="00597D44"/>
    <w:rsid w:val="005B5FDE"/>
    <w:rsid w:val="005B70FB"/>
    <w:rsid w:val="005C1191"/>
    <w:rsid w:val="005C6247"/>
    <w:rsid w:val="005E1D20"/>
    <w:rsid w:val="006235E8"/>
    <w:rsid w:val="006375DF"/>
    <w:rsid w:val="00675AB3"/>
    <w:rsid w:val="00693609"/>
    <w:rsid w:val="00693F88"/>
    <w:rsid w:val="006A5BDF"/>
    <w:rsid w:val="006C190E"/>
    <w:rsid w:val="006D2A48"/>
    <w:rsid w:val="006D5AC9"/>
    <w:rsid w:val="006E6617"/>
    <w:rsid w:val="006F5644"/>
    <w:rsid w:val="006F573F"/>
    <w:rsid w:val="0070629E"/>
    <w:rsid w:val="00707234"/>
    <w:rsid w:val="00707642"/>
    <w:rsid w:val="00721C7D"/>
    <w:rsid w:val="0072550C"/>
    <w:rsid w:val="00730E63"/>
    <w:rsid w:val="00762A9D"/>
    <w:rsid w:val="00767736"/>
    <w:rsid w:val="0077355F"/>
    <w:rsid w:val="00775B7E"/>
    <w:rsid w:val="007932E2"/>
    <w:rsid w:val="00793A53"/>
    <w:rsid w:val="007A4D7B"/>
    <w:rsid w:val="007B7CBA"/>
    <w:rsid w:val="00811E97"/>
    <w:rsid w:val="00816BD3"/>
    <w:rsid w:val="00841848"/>
    <w:rsid w:val="0085339C"/>
    <w:rsid w:val="0085765A"/>
    <w:rsid w:val="008770F7"/>
    <w:rsid w:val="00886A8C"/>
    <w:rsid w:val="008A68D1"/>
    <w:rsid w:val="008B2D44"/>
    <w:rsid w:val="00900379"/>
    <w:rsid w:val="009016EF"/>
    <w:rsid w:val="009114FC"/>
    <w:rsid w:val="0092193B"/>
    <w:rsid w:val="00934F33"/>
    <w:rsid w:val="00955493"/>
    <w:rsid w:val="00995F60"/>
    <w:rsid w:val="009B0B30"/>
    <w:rsid w:val="009E7777"/>
    <w:rsid w:val="009F790E"/>
    <w:rsid w:val="00A02DCB"/>
    <w:rsid w:val="00A11A24"/>
    <w:rsid w:val="00A23016"/>
    <w:rsid w:val="00A230A1"/>
    <w:rsid w:val="00A32F54"/>
    <w:rsid w:val="00A50B87"/>
    <w:rsid w:val="00A63677"/>
    <w:rsid w:val="00A81D96"/>
    <w:rsid w:val="00A872AE"/>
    <w:rsid w:val="00A94578"/>
    <w:rsid w:val="00AC0CC9"/>
    <w:rsid w:val="00AE3065"/>
    <w:rsid w:val="00AE472B"/>
    <w:rsid w:val="00AF3193"/>
    <w:rsid w:val="00B1063B"/>
    <w:rsid w:val="00B355AE"/>
    <w:rsid w:val="00B61232"/>
    <w:rsid w:val="00B80423"/>
    <w:rsid w:val="00B863EB"/>
    <w:rsid w:val="00B90811"/>
    <w:rsid w:val="00BA12A0"/>
    <w:rsid w:val="00BA6DA8"/>
    <w:rsid w:val="00BD25EC"/>
    <w:rsid w:val="00BD7F32"/>
    <w:rsid w:val="00BE1B4A"/>
    <w:rsid w:val="00C0593E"/>
    <w:rsid w:val="00C12D29"/>
    <w:rsid w:val="00C5107B"/>
    <w:rsid w:val="00C971FC"/>
    <w:rsid w:val="00CA20C3"/>
    <w:rsid w:val="00CB3096"/>
    <w:rsid w:val="00CC1605"/>
    <w:rsid w:val="00CC48B3"/>
    <w:rsid w:val="00CD76BA"/>
    <w:rsid w:val="00CF0E5D"/>
    <w:rsid w:val="00CF7195"/>
    <w:rsid w:val="00D02395"/>
    <w:rsid w:val="00D157B7"/>
    <w:rsid w:val="00D17A05"/>
    <w:rsid w:val="00D3018F"/>
    <w:rsid w:val="00D34725"/>
    <w:rsid w:val="00D44F12"/>
    <w:rsid w:val="00D47952"/>
    <w:rsid w:val="00D53979"/>
    <w:rsid w:val="00D56EAC"/>
    <w:rsid w:val="00D5747F"/>
    <w:rsid w:val="00D60242"/>
    <w:rsid w:val="00DC602D"/>
    <w:rsid w:val="00E006C3"/>
    <w:rsid w:val="00E36C8D"/>
    <w:rsid w:val="00E52F37"/>
    <w:rsid w:val="00E73305"/>
    <w:rsid w:val="00E73DF2"/>
    <w:rsid w:val="00E84ED2"/>
    <w:rsid w:val="00E92D21"/>
    <w:rsid w:val="00EA6E74"/>
    <w:rsid w:val="00EB1FA8"/>
    <w:rsid w:val="00EB44EA"/>
    <w:rsid w:val="00EC17D3"/>
    <w:rsid w:val="00ED060C"/>
    <w:rsid w:val="00ED41E2"/>
    <w:rsid w:val="00ED7615"/>
    <w:rsid w:val="00F41EDD"/>
    <w:rsid w:val="00F610EB"/>
    <w:rsid w:val="00F62D91"/>
    <w:rsid w:val="00F641FD"/>
    <w:rsid w:val="00F65097"/>
    <w:rsid w:val="00F75457"/>
    <w:rsid w:val="00F82347"/>
    <w:rsid w:val="00F838D0"/>
    <w:rsid w:val="00F9175A"/>
    <w:rsid w:val="00F91E48"/>
    <w:rsid w:val="00FA72A8"/>
    <w:rsid w:val="00FF5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B22919"/>
  <w15:chartTrackingRefBased/>
  <w15:docId w15:val="{60CDF594-BA33-4265-A958-D9CD7BEC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12D29"/>
    <w:pPr>
      <w:keepNext/>
      <w:outlineLvl w:val="0"/>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B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E1B4A"/>
    <w:pPr>
      <w:tabs>
        <w:tab w:val="center" w:pos="4320"/>
        <w:tab w:val="right" w:pos="8640"/>
      </w:tabs>
    </w:pPr>
  </w:style>
  <w:style w:type="paragraph" w:styleId="Footer">
    <w:name w:val="footer"/>
    <w:basedOn w:val="Normal"/>
    <w:rsid w:val="00BE1B4A"/>
    <w:pPr>
      <w:tabs>
        <w:tab w:val="center" w:pos="4320"/>
        <w:tab w:val="right" w:pos="8640"/>
      </w:tabs>
    </w:pPr>
  </w:style>
  <w:style w:type="paragraph" w:styleId="BalloonText">
    <w:name w:val="Balloon Text"/>
    <w:basedOn w:val="Normal"/>
    <w:semiHidden/>
    <w:rsid w:val="00BE1B4A"/>
    <w:rPr>
      <w:rFonts w:ascii="Tahoma" w:hAnsi="Tahoma" w:cs="Tahoma"/>
      <w:sz w:val="16"/>
      <w:szCs w:val="16"/>
    </w:rPr>
  </w:style>
  <w:style w:type="paragraph" w:styleId="BodyText">
    <w:name w:val="Body Text"/>
    <w:basedOn w:val="Normal"/>
    <w:rsid w:val="002533F5"/>
    <w:pPr>
      <w:spacing w:after="220" w:line="180" w:lineRule="atLeast"/>
      <w:ind w:left="835"/>
      <w:jc w:val="both"/>
    </w:pPr>
    <w:rPr>
      <w:rFonts w:ascii="Arial" w:hAnsi="Arial"/>
      <w:spacing w:val="-5"/>
      <w:sz w:val="20"/>
      <w:szCs w:val="20"/>
    </w:rPr>
  </w:style>
  <w:style w:type="character" w:styleId="PageNumber">
    <w:name w:val="page number"/>
    <w:basedOn w:val="DefaultParagraphFont"/>
    <w:rsid w:val="00FA72A8"/>
  </w:style>
  <w:style w:type="character" w:customStyle="1" w:styleId="Heading1Char">
    <w:name w:val="Heading 1 Char"/>
    <w:link w:val="Heading1"/>
    <w:rsid w:val="00C12D29"/>
    <w:rPr>
      <w:b/>
    </w:rPr>
  </w:style>
  <w:style w:type="paragraph" w:styleId="ListParagraph">
    <w:name w:val="List Paragraph"/>
    <w:basedOn w:val="Normal"/>
    <w:uiPriority w:val="34"/>
    <w:qFormat/>
    <w:rsid w:val="00BD7F32"/>
    <w:pPr>
      <w:ind w:left="720"/>
    </w:pPr>
    <w:rPr>
      <w:rFonts w:ascii="Calibri" w:eastAsia="Calibri" w:hAnsi="Calibri"/>
      <w:sz w:val="22"/>
      <w:szCs w:val="22"/>
    </w:rPr>
  </w:style>
  <w:style w:type="paragraph" w:styleId="PlainText">
    <w:name w:val="Plain Text"/>
    <w:basedOn w:val="Normal"/>
    <w:link w:val="PlainTextChar"/>
    <w:uiPriority w:val="99"/>
    <w:unhideWhenUsed/>
    <w:rsid w:val="00BD7F32"/>
    <w:rPr>
      <w:rFonts w:ascii="Consolas" w:eastAsia="Calibri" w:hAnsi="Consolas"/>
      <w:sz w:val="21"/>
      <w:szCs w:val="21"/>
    </w:rPr>
  </w:style>
  <w:style w:type="character" w:customStyle="1" w:styleId="PlainTextChar">
    <w:name w:val="Plain Text Char"/>
    <w:link w:val="PlainText"/>
    <w:uiPriority w:val="99"/>
    <w:rsid w:val="00BD7F32"/>
    <w:rPr>
      <w:rFonts w:ascii="Consolas" w:eastAsia="Calibri" w:hAnsi="Consolas"/>
      <w:sz w:val="21"/>
      <w:szCs w:val="21"/>
    </w:rPr>
  </w:style>
  <w:style w:type="character" w:styleId="CommentReference">
    <w:name w:val="annotation reference"/>
    <w:basedOn w:val="DefaultParagraphFont"/>
    <w:rsid w:val="00F91E48"/>
    <w:rPr>
      <w:sz w:val="16"/>
      <w:szCs w:val="16"/>
    </w:rPr>
  </w:style>
  <w:style w:type="paragraph" w:styleId="CommentText">
    <w:name w:val="annotation text"/>
    <w:basedOn w:val="Normal"/>
    <w:link w:val="CommentTextChar"/>
    <w:rsid w:val="00F91E48"/>
    <w:rPr>
      <w:sz w:val="20"/>
      <w:szCs w:val="20"/>
    </w:rPr>
  </w:style>
  <w:style w:type="character" w:customStyle="1" w:styleId="CommentTextChar">
    <w:name w:val="Comment Text Char"/>
    <w:basedOn w:val="DefaultParagraphFont"/>
    <w:link w:val="CommentText"/>
    <w:rsid w:val="00F91E48"/>
  </w:style>
  <w:style w:type="paragraph" w:styleId="CommentSubject">
    <w:name w:val="annotation subject"/>
    <w:basedOn w:val="CommentText"/>
    <w:next w:val="CommentText"/>
    <w:link w:val="CommentSubjectChar"/>
    <w:rsid w:val="00F91E48"/>
    <w:rPr>
      <w:b/>
      <w:bCs/>
    </w:rPr>
  </w:style>
  <w:style w:type="character" w:customStyle="1" w:styleId="CommentSubjectChar">
    <w:name w:val="Comment Subject Char"/>
    <w:basedOn w:val="CommentTextChar"/>
    <w:link w:val="CommentSubject"/>
    <w:rsid w:val="00F91E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578437">
      <w:bodyDiv w:val="1"/>
      <w:marLeft w:val="0"/>
      <w:marRight w:val="0"/>
      <w:marTop w:val="0"/>
      <w:marBottom w:val="0"/>
      <w:divBdr>
        <w:top w:val="none" w:sz="0" w:space="0" w:color="auto"/>
        <w:left w:val="none" w:sz="0" w:space="0" w:color="auto"/>
        <w:bottom w:val="none" w:sz="0" w:space="0" w:color="auto"/>
        <w:right w:val="none" w:sz="0" w:space="0" w:color="auto"/>
      </w:divBdr>
    </w:div>
    <w:div w:id="1009600972">
      <w:bodyDiv w:val="1"/>
      <w:marLeft w:val="0"/>
      <w:marRight w:val="0"/>
      <w:marTop w:val="0"/>
      <w:marBottom w:val="0"/>
      <w:divBdr>
        <w:top w:val="none" w:sz="0" w:space="0" w:color="auto"/>
        <w:left w:val="none" w:sz="0" w:space="0" w:color="auto"/>
        <w:bottom w:val="none" w:sz="0" w:space="0" w:color="auto"/>
        <w:right w:val="none" w:sz="0" w:space="0" w:color="auto"/>
      </w:divBdr>
    </w:div>
    <w:div w:id="157033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B820C-CFA8-4077-8CDC-590A508CE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Question #</vt:lpstr>
    </vt:vector>
  </TitlesOfParts>
  <Company>City of Seattle</Company>
  <LinksUpToDate>false</LinksUpToDate>
  <CharactersWithSpaces>10757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dc:title>
  <dc:subject/>
  <dc:creator>PCTech</dc:creator>
  <cp:keywords/>
  <cp:lastModifiedBy>Wong, Carol</cp:lastModifiedBy>
  <cp:revision>2</cp:revision>
  <cp:lastPrinted>2012-01-11T21:51:00Z</cp:lastPrinted>
  <dcterms:created xsi:type="dcterms:W3CDTF">2019-11-14T17:30:00Z</dcterms:created>
  <dcterms:modified xsi:type="dcterms:W3CDTF">2019-11-14T17:30:00Z</dcterms:modified>
</cp:coreProperties>
</file>